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Georgia" w:cs="Georgia" w:eastAsia="Georgia" w:hAnsi="Georgia"/>
          <w:b/>
          <w:bCs/>
          <w:color w:val="1B2D4F"/>
          <w:sz w:val="36"/>
          <w:szCs w:val="36"/>
        </w:rPr>
        <w:t xml:space="preserve">iOM</w:t>
      </w:r>
    </w:p>
    <w:p>
      <w:pPr>
        <w:pBdr>
          <w:bottom w:val="single" w:color="D9D2C6" w:sz="6" w:space="6"/>
        </w:pBdr>
        <w:spacing w:after="200"/>
      </w:pPr>
      <w:r>
        <w:rPr>
          <w:rFonts w:ascii="Arial" w:cs="Arial" w:eastAsia="Arial" w:hAnsi="Arial"/>
          <w:b/>
          <w:bCs/>
          <w:color w:val="C8920A"/>
          <w:sz w:val="16"/>
          <w:szCs w:val="16"/>
        </w:rPr>
        <w:t xml:space="preserve">A WHITEPAPER</w:t>
      </w:r>
    </w:p>
    <w:p>
      <w:pPr>
        <w:spacing w:after="60"/>
      </w:pPr>
      <w:r>
        <w:rPr>
          <w:rFonts w:ascii="Arial" w:cs="Arial" w:eastAsia="Arial" w:hAnsi="Arial"/>
          <w:b/>
          <w:bCs/>
          <w:color w:val="C8920A"/>
          <w:sz w:val="18"/>
          <w:szCs w:val="18"/>
        </w:rPr>
        <w:t xml:space="preserve">BUILD VS. BUY · ANALYSIS</w:t>
      </w:r>
    </w:p>
    <w:p>
      <w:pPr>
        <w:spacing w:after="120"/>
      </w:pPr>
      <w:r>
        <w:rPr>
          <w:rFonts w:ascii="Georgia" w:cs="Georgia" w:eastAsia="Georgia" w:hAnsi="Georgia"/>
          <w:b/>
          <w:bCs/>
          <w:color w:val="1B2D4F"/>
          <w:sz w:val="48"/>
          <w:szCs w:val="48"/>
        </w:rPr>
        <w:t xml:space="preserve">Twelve Tools, One Missing Layer</w:t>
      </w:r>
    </w:p>
    <w:p>
      <w:pPr>
        <w:spacing w:after="160"/>
      </w:pPr>
      <w:r>
        <w:rPr>
          <w:rFonts w:ascii="Arial" w:cs="Arial" w:eastAsia="Arial" w:hAnsi="Arial"/>
          <w:i/>
          <w:iCs/>
          <w:color w:val="4A5568"/>
          <w:sz w:val="26"/>
          <w:szCs w:val="26"/>
        </w:rPr>
        <w:t xml:space="preserve">Why assembling best-of-breed tools — even all of them, even inside one platform — cannot produce an infrastructure authority layer.</w:t>
      </w:r>
    </w:p>
    <w:p>
      <w:pPr>
        <w:spacing w:after="60" w:before="120"/>
      </w:pPr>
      <w:r>
        <w:rPr>
          <w:rFonts w:ascii="Arial" w:cs="Arial" w:eastAsia="Arial" w:hAnsi="Arial"/>
          <w:b/>
          <w:bCs/>
          <w:color w:val="C8920A"/>
          <w:sz w:val="16"/>
          <w:szCs w:val="16"/>
        </w:rPr>
        <w:t xml:space="preserve">ABSTRACT</w:t>
      </w:r>
    </w:p>
    <w:p>
      <w:pPr>
        <w:pBdr>
          <w:left w:val="single" w:color="C8920A" w:sz="18" w:space="12"/>
        </w:pBdr>
        <w:spacing w:after="200" w:line="280"/>
        <w:ind w:left="240"/>
        <w:jc w:val="both"/>
      </w:pPr>
      <w:r>
        <w:rPr>
          <w:rFonts w:ascii="Arial" w:cs="Arial" w:eastAsia="Arial" w:hAnsi="Arial"/>
          <w:color w:val="222C3A"/>
          <w:sz w:val="19"/>
          <w:szCs w:val="19"/>
        </w:rPr>
        <w:t xml:space="preserve">Modern IT environments — spanning on-premises, multiple clouds, edge, software-defined networks, and identity — cannot be governed safely with static documentation, siloed tools, or after-the-fact controls. This vendor-neutral paper answers the question every analyst eventually asks: why can’t an existing platform simply add this? Approximating an Infrastructure Operating Model from best-of-breed tools takes roughly a dozen platforms — but the deeper finding is not the tool count. Even if a single vendor delivered all twelve capabilities in one product, the result would still not be an IOM. What the twelve tools reveal is a missing layer: an authoritative source of legitimacy that no amount of integration produces. Authority is a governance construct, not an integration construct. IOM is not a feature gap. It is a structural gap.</w:t>
      </w:r>
    </w:p>
    <w:p>
      <w:pPr>
        <w:pBdr>
          <w:bottom w:val="single" w:color="D9D2C6" w:sz="6" w:space="6"/>
        </w:pBdr>
        <w:spacing w:after="40"/>
      </w:pPr>
    </w:p>
    <w:p>
      <w:pPr>
        <w:spacing w:after="120"/>
      </w:pPr>
      <w:r>
        <w:rPr>
          <w:rFonts w:ascii="Arial" w:cs="Arial" w:eastAsia="Arial" w:hAnsi="Arial"/>
          <w:i/>
          <w:iCs/>
          <w:color w:val="4A5568"/>
          <w:sz w:val="16"/>
          <w:szCs w:val="16"/>
        </w:rPr>
        <w:t xml:space="preserve">An open publication of The IOM Standard. Distributed under CC BY 4.0. “Proposed standard” — vendor-neutral, community-governed. · theIOM.org</w:t>
      </w:r>
    </w:p>
    <w:p>
      <w:r>
        <w:br w:type="page"/>
      </w:r>
    </w:p>
    <w:p>
      <w:pPr>
        <w:pStyle w:val="Heading1"/>
        <w:pBdr>
          <w:bottom w:val="single" w:color="C8920A" w:sz="12" w:space="4"/>
        </w:pBdr>
        <w:spacing w:after="120" w:before="320"/>
      </w:pPr>
      <w:r>
        <w:rPr>
          <w:rFonts w:ascii="Georgia" w:cs="Georgia" w:eastAsia="Georgia" w:hAnsi="Georgia"/>
          <w:b/>
          <w:bCs/>
          <w:color w:val="1B2D4F"/>
          <w:sz w:val="30"/>
          <w:szCs w:val="30"/>
        </w:rPr>
        <w:t xml:space="preserve">1. The promise of an Infrastructure Operating Model</w:t>
      </w:r>
    </w:p>
    <w:p>
      <w:pPr>
        <w:spacing w:after="160" w:line="300"/>
        <w:jc w:val="both"/>
      </w:pPr>
      <w:r>
        <w:rPr>
          <w:rFonts w:ascii="Arial" w:cs="Arial" w:eastAsia="Arial" w:hAnsi="Arial"/>
          <w:color w:val="222C3A"/>
          <w:sz w:val="21"/>
          <w:szCs w:val="21"/>
        </w:rPr>
        <w:t xml:space="preserve">An IOM is not a dashboard, a CMDB, or an automation framework. At minimum it requires a single authoritative model of enterprise infrastructure and intent; explicit representation of relationships, dependencies, ownership, and blast radius; separation of declared intent from observed state; continuous reconciliation between intent and reality; the authority to approve, block, or constrain execution before it occurs; and a foundation trustworthy enough for autonomous AI agents. Traditional tools were not designed to provide these as a unified system — each addresses a narrow domain concern.</w:t>
      </w:r>
    </w:p>
    <w:p>
      <w:pPr>
        <w:pStyle w:val="Heading2"/>
        <w:spacing w:after="80" w:before="200"/>
      </w:pPr>
      <w:r>
        <w:rPr>
          <w:rFonts w:ascii="Arial" w:cs="Arial" w:eastAsia="Arial" w:hAnsi="Arial"/>
          <w:b/>
          <w:bCs/>
          <w:color w:val="4A5568"/>
          <w:sz w:val="23"/>
          <w:szCs w:val="23"/>
        </w:rPr>
        <w:t xml:space="preserve">Why major shifts require new operating models</w:t>
      </w:r>
    </w:p>
    <w:p>
      <w:pPr>
        <w:spacing w:after="160" w:line="300"/>
        <w:jc w:val="both"/>
      </w:pPr>
      <w:r>
        <w:rPr>
          <w:rFonts w:ascii="Arial" w:cs="Arial" w:eastAsia="Arial" w:hAnsi="Arial"/>
          <w:color w:val="222C3A"/>
          <w:sz w:val="21"/>
          <w:szCs w:val="21"/>
        </w:rPr>
        <w:t xml:space="preserve">Every major shift in computing has required a corresponding operating model. Mainframe-to-client/server required distributed change management and fault isolation. Client/server-to-virtualization drove abstraction layers and lifecycle processes. Virtualization-to-cloud forced Infrastructure-as-Code, DevOps, and cloud governance. Static-to-dynamic infrastructure exposed the limits of document-based architecture and ticket-driven control. Each shift increased dynamism and reduced the effectiveness of manual oversight. The current shift — dynamic infrastructure plus AI systems expected to reason, decide, and act — breaks prior assumptions entirely.</w:t>
      </w:r>
    </w:p>
    <w:p>
      <w:pPr>
        <w:pStyle w:val="Heading1"/>
        <w:pBdr>
          <w:bottom w:val="single" w:color="C8920A" w:sz="12" w:space="4"/>
        </w:pBdr>
        <w:spacing w:after="120" w:before="320"/>
      </w:pPr>
      <w:r>
        <w:rPr>
          <w:rFonts w:ascii="Georgia" w:cs="Georgia" w:eastAsia="Georgia" w:hAnsi="Georgia"/>
          <w:b/>
          <w:bCs/>
          <w:color w:val="1B2D4F"/>
          <w:sz w:val="30"/>
          <w:szCs w:val="30"/>
        </w:rPr>
        <w:t xml:space="preserve">2. The best-of-breed toolchain required to approximate an IOM</w:t>
      </w:r>
    </w:p>
    <w:p>
      <w:pPr>
        <w:spacing w:after="160" w:line="300"/>
        <w:jc w:val="both"/>
      </w:pPr>
      <w:r>
        <w:rPr>
          <w:rFonts w:ascii="Arial" w:cs="Arial" w:eastAsia="Arial" w:hAnsi="Arial"/>
          <w:color w:val="222C3A"/>
          <w:sz w:val="21"/>
          <w:szCs w:val="21"/>
        </w:rPr>
        <w:t xml:space="preserve">Implementing an IOM from today’s market requires stitching together tools across at least eight capability domains; no single platform, nor any pair, covers them end-to-end. The tools below are illustrative, not prescriptive — most enterprises already own many of them. The point is not tool choice, but structural dependency.</w:t>
      </w:r>
    </w:p>
    <w:p>
      <w:pPr>
        <w:spacing w:after="4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w:t>
            </w:r>
          </w:p>
        </w:tc>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Tool category</w:t>
            </w:r>
          </w:p>
        </w:tc>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Critical gap without an IOM</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1</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Infrastructure inventory / CMDB</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Static, incomplete; no authoritative, continuously reconciled model</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2</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Cloud resource graphs</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Fragmented by provider; no enterprise abstraction or intent</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3</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Network intent &amp; topology</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Network-only view; no application or business context</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4</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Identity &amp; access governance</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No infrastructure dependency or blast-radius awareness</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5</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Observability &amp; APM</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Probabilistic, post-facto, not authoritative</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6</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Security policy enforcement</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Policies lack architectural and intent context</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7</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Infrastructure as Code</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Executes without understanding legitimacy or impact</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8</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Config / ops automation</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Amplifies errors without systemic context</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9</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Policy-as-code / guardrails</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Enforces rules within a boundary; no cross-domain authority</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10</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Drift detection</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Detects after the fact; cannot prevent illegitimate state</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11</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GRC / audit</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Point-in-time evidence; not continuously reconciled</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12</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Orchestration / control plane</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Coordinates execution; does not define legitimacy</w:t>
            </w:r>
          </w:p>
        </w:tc>
      </w:tr>
    </w:tbl>
    <w:p>
      <w:pPr>
        <w:spacing w:after="160" w:before="60"/>
      </w:pPr>
      <w:r>
        <w:rPr>
          <w:rFonts w:ascii="Arial" w:cs="Arial" w:eastAsia="Arial" w:hAnsi="Arial"/>
          <w:i/>
          <w:iCs/>
          <w:color w:val="4A5568"/>
          <w:sz w:val="16"/>
          <w:szCs w:val="16"/>
        </w:rPr>
        <w:t xml:space="preserve">Representative categories, illustrative not prescriptive. The point is the structural dependency the stack reveals, not any specific product.</w:t>
      </w:r>
    </w:p>
    <w:p>
      <w:pPr>
        <w:pStyle w:val="Heading1"/>
        <w:pBdr>
          <w:bottom w:val="single" w:color="C8920A" w:sz="12" w:space="4"/>
        </w:pBdr>
        <w:spacing w:after="120" w:before="320"/>
      </w:pPr>
      <w:r>
        <w:rPr>
          <w:rFonts w:ascii="Georgia" w:cs="Georgia" w:eastAsia="Georgia" w:hAnsi="Georgia"/>
          <w:b/>
          <w:bCs/>
          <w:color w:val="1B2D4F"/>
          <w:sz w:val="30"/>
          <w:szCs w:val="30"/>
        </w:rPr>
        <w:t xml:space="preserve">3. Why aggregation does not create authority</w:t>
      </w:r>
    </w:p>
    <w:p>
      <w:pPr>
        <w:spacing w:after="160" w:line="300"/>
        <w:jc w:val="both"/>
      </w:pPr>
      <w:r>
        <w:rPr>
          <w:rFonts w:ascii="Arial" w:cs="Arial" w:eastAsia="Arial" w:hAnsi="Arial"/>
          <w:color w:val="222C3A"/>
          <w:sz w:val="21"/>
          <w:szCs w:val="21"/>
        </w:rPr>
        <w:t xml:space="preserve">The instinct is to integrate the twelve into one fabric and call the result an operating model. But integration moves data between tools; it does not create an authority none of them holds. Each tool answers a domain question well and a legitimacy question not at all. Stacking them — even perfectly, even inside one vendor’s platform — produces a richer description, not a binding judgment. No amount of aggregation becomes authority, because tools assemble what they can observe while authority declares what is legitimate — a different kind of fact, and one that has to be stated rather than collected.</w:t>
      </w:r>
    </w:p>
    <w:p>
      <w:pPr>
        <w:pBdr>
          <w:left w:val="single" w:color="C8920A" w:sz="24" w:space="12"/>
        </w:pBdr>
        <w:spacing w:after="180" w:before="180" w:line="300"/>
        <w:ind w:left="360"/>
      </w:pPr>
      <w:r>
        <w:rPr>
          <w:rFonts w:ascii="Georgia" w:cs="Georgia" w:eastAsia="Georgia" w:hAnsi="Georgia"/>
          <w:i/>
          <w:iCs/>
          <w:color w:val="1B2D4F"/>
          <w:sz w:val="26"/>
          <w:szCs w:val="26"/>
        </w:rPr>
        <w:t xml:space="preserve">Authority is a governance construct, not an integration construct. The twelve tools don’t reveal a feature gap that a thirteenth tool closes. They reveal a structural gap that only an operating model fills.</w:t>
      </w:r>
    </w:p>
    <w:p>
      <w:pPr>
        <w:pStyle w:val="Heading1"/>
        <w:pBdr>
          <w:bottom w:val="single" w:color="C8920A" w:sz="12" w:space="4"/>
        </w:pBdr>
        <w:spacing w:after="120" w:before="320"/>
      </w:pPr>
      <w:r>
        <w:rPr>
          <w:rFonts w:ascii="Georgia" w:cs="Georgia" w:eastAsia="Georgia" w:hAnsi="Georgia"/>
          <w:b/>
          <w:bCs/>
          <w:color w:val="1B2D4F"/>
          <w:sz w:val="30"/>
          <w:szCs w:val="30"/>
        </w:rPr>
        <w:t xml:space="preserve">4. The single-vendor case</w:t>
      </w:r>
    </w:p>
    <w:p>
      <w:pPr>
        <w:spacing w:after="160" w:line="300"/>
        <w:jc w:val="both"/>
      </w:pPr>
      <w:r>
        <w:rPr>
          <w:rFonts w:ascii="Arial" w:cs="Arial" w:eastAsia="Arial" w:hAnsi="Arial"/>
          <w:color w:val="222C3A"/>
          <w:sz w:val="21"/>
          <w:szCs w:val="21"/>
        </w:rPr>
        <w:t xml:space="preserve">Suppose one vendor delivered all twelve capabilities in a single product. It would still not be an IOM — because the defining property of an IOM is not breadth of capability but the presence of an authoritative, declared model of intent that sits before execution and binds it. A unified platform whose source of truth remains observed state is a more capable observation system. The authority has to be declared and made independent of the execution it governs; consolidation alone never produces it.</w:t>
      </w:r>
    </w:p>
    <w:p>
      <w:pPr>
        <w:pStyle w:val="Heading1"/>
        <w:pBdr>
          <w:bottom w:val="single" w:color="C8920A" w:sz="12" w:space="4"/>
        </w:pBdr>
        <w:spacing w:after="120" w:before="320"/>
      </w:pPr>
      <w:r>
        <w:rPr>
          <w:rFonts w:ascii="Georgia" w:cs="Georgia" w:eastAsia="Georgia" w:hAnsi="Georgia"/>
          <w:b/>
          <w:bCs/>
          <w:color w:val="1B2D4F"/>
          <w:sz w:val="30"/>
          <w:szCs w:val="30"/>
        </w:rPr>
        <w:t xml:space="preserve">5. Conclusion</w:t>
      </w:r>
    </w:p>
    <w:p>
      <w:pPr>
        <w:spacing w:after="160" w:line="300"/>
        <w:jc w:val="both"/>
      </w:pPr>
      <w:r>
        <w:rPr>
          <w:rFonts w:ascii="Arial" w:cs="Arial" w:eastAsia="Arial" w:hAnsi="Arial"/>
          <w:color w:val="222C3A"/>
          <w:sz w:val="21"/>
          <w:szCs w:val="21"/>
        </w:rPr>
        <w:t xml:space="preserve">The twelve tools are real, useful, and largely already owned. What they cannot do, individually or assembled, is establish legitimacy — the judgment of whether a change should exist at all. That judgment is the operating model’s, and it is the one thing no integration produces. The question is not which tools to buy, but whether the authority layer exists above them. Until it does, the stack describes and executes; it does not govern.</w:t>
      </w:r>
    </w:p>
    <w:p>
      <w:pPr>
        <w:pBdr>
          <w:top w:val="single" w:color="D9D2C6" w:sz="6" w:space="8"/>
        </w:pBdr>
        <w:spacing w:before="280" w:line="280"/>
        <w:jc w:val="both"/>
      </w:pPr>
      <w:r>
        <w:rPr>
          <w:rFonts w:ascii="Arial" w:cs="Arial" w:eastAsia="Arial" w:hAnsi="Arial"/>
          <w:i/>
          <w:iCs/>
          <w:color w:val="4A5568"/>
          <w:sz w:val="19"/>
          <w:szCs w:val="19"/>
        </w:rPr>
        <w:t xml:space="preserve">This is a category paper in the IOM Standard library. Tool names are illustrative of categories, not endorsements. It does not restate the normative requirements of the IOM Standard. The IOM Standard is an open, vendor-neutral specification — learn more at theIOM.org.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outlineLvl w:val="0"/>
    </w:pPr>
    <w:rPr>
      <w:rFonts w:ascii="Georgia" w:cs="Georgia" w:eastAsia="Georgia" w:hAnsi="Georgia"/>
      <w:b/>
      <w:bCs/>
      <w:color w:val="1B2D4F"/>
      <w:sz w:val="30"/>
      <w:szCs w:val="30"/>
    </w:rPr>
  </w:style>
  <w:style w:type="paragraph" w:styleId="Heading2">
    <w:name w:val="Heading 2"/>
    <w:basedOn w:val="Normal"/>
    <w:next w:val="Normal"/>
    <w:qFormat/>
    <w:pPr>
      <w:outlineLvl w:val="1"/>
    </w:pPr>
    <w:rPr>
      <w:rFonts w:ascii="Arial" w:cs="Arial" w:eastAsia="Arial" w:hAnsi="Arial"/>
      <w:b/>
      <w:bCs/>
      <w:color w:val="4A556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2026-06-28T13:22:16.994Z</dcterms:created>
  <dcterms:modified xsi:type="dcterms:W3CDTF">2026-06-28T13:22:16.994Z</dcterms:modified>
</cp:coreProperties>
</file>

<file path=docProps/custom.xml><?xml version="1.0" encoding="utf-8"?>
<Properties xmlns="http://schemas.openxmlformats.org/officeDocument/2006/custom-properties" xmlns:vt="http://schemas.openxmlformats.org/officeDocument/2006/docPropsVTypes"/>
</file>