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Georgia" w:cs="Georgia" w:eastAsia="Georgia" w:hAnsi="Georgia"/>
          <w:b/>
          <w:bCs/>
          <w:color w:val="1B2D4F"/>
          <w:sz w:val="36"/>
          <w:szCs w:val="36"/>
        </w:rPr>
        <w:t xml:space="preserve">iOM</w:t>
      </w:r>
    </w:p>
    <w:p>
      <w:pPr>
        <w:pBdr>
          <w:bottom w:val="single" w:color="D9D2C6" w:sz="6" w:space="6"/>
        </w:pBdr>
        <w:spacing w:after="200"/>
      </w:pPr>
      <w:r>
        <w:rPr>
          <w:rFonts w:ascii="Arial" w:cs="Arial" w:eastAsia="Arial" w:hAnsi="Arial"/>
          <w:b/>
          <w:bCs/>
          <w:color w:val="C8920A"/>
          <w:sz w:val="16"/>
          <w:szCs w:val="16"/>
        </w:rPr>
        <w:t xml:space="preserve">A WHITEPAPER</w:t>
      </w:r>
    </w:p>
    <w:p>
      <w:pPr>
        <w:spacing w:after="60"/>
      </w:pPr>
      <w:r>
        <w:rPr>
          <w:rFonts w:ascii="Arial" w:cs="Arial" w:eastAsia="Arial" w:hAnsi="Arial"/>
          <w:b/>
          <w:bCs/>
          <w:color w:val="C8920A"/>
          <w:sz w:val="18"/>
          <w:szCs w:val="18"/>
        </w:rPr>
        <w:t xml:space="preserve">FOUNDATIONS · AI GOVERNANCE</w:t>
      </w:r>
    </w:p>
    <w:p>
      <w:pPr>
        <w:spacing w:after="120"/>
      </w:pPr>
      <w:r>
        <w:rPr>
          <w:rFonts w:ascii="Georgia" w:cs="Georgia" w:eastAsia="Georgia" w:hAnsi="Georgia"/>
          <w:b/>
          <w:bCs/>
          <w:color w:val="1B2D4F"/>
          <w:sz w:val="48"/>
          <w:szCs w:val="48"/>
        </w:rPr>
        <w:t xml:space="preserve">Representation Is Not Authority</w:t>
      </w:r>
    </w:p>
    <w:p>
      <w:pPr>
        <w:spacing w:after="160"/>
      </w:pPr>
      <w:r>
        <w:rPr>
          <w:rFonts w:ascii="Arial" w:cs="Arial" w:eastAsia="Arial" w:hAnsi="Arial"/>
          <w:i/>
          <w:iCs/>
          <w:color w:val="4A5568"/>
          <w:sz w:val="26"/>
          <w:szCs w:val="26"/>
        </w:rPr>
        <w:t xml:space="preserve">Infrastructure Operating Models vs. Digital Twins — why representation and authority are different functions, and legitimacy is the boundary.</w:t>
      </w:r>
    </w:p>
    <w:p>
      <w:pPr>
        <w:spacing w:after="60" w:before="120"/>
      </w:pPr>
      <w:r>
        <w:rPr>
          <w:rFonts w:ascii="Arial" w:cs="Arial" w:eastAsia="Arial" w:hAnsi="Arial"/>
          <w:b/>
          <w:bCs/>
          <w:color w:val="C8920A"/>
          <w:sz w:val="16"/>
          <w:szCs w:val="16"/>
        </w:rPr>
        <w:t xml:space="preserve">ABSTRACT</w:t>
      </w:r>
    </w:p>
    <w:p>
      <w:pPr>
        <w:pBdr>
          <w:left w:val="single" w:color="C8920A" w:sz="18" w:space="12"/>
        </w:pBdr>
        <w:spacing w:after="200" w:line="280"/>
        <w:ind w:left="240"/>
        <w:jc w:val="both"/>
      </w:pPr>
      <w:r>
        <w:rPr>
          <w:rFonts w:ascii="Arial" w:cs="Arial" w:eastAsia="Arial" w:hAnsi="Arial"/>
          <w:color w:val="222C3A"/>
          <w:sz w:val="19"/>
          <w:szCs w:val="19"/>
        </w:rPr>
        <w:t xml:space="preserve">As enterprises adopt automation and AI-driven operations, two concepts are routinely conflated: digital twins and Infrastructure Operating Models. They are not variations on one idea — they perform different functions. A digital twin </w:t>
      </w:r>
      <w:r>
        <w:rPr>
          <w:rFonts w:ascii="Arial" w:cs="Arial" w:eastAsia="Arial" w:hAnsi="Arial"/>
          <w:i/>
          <w:iCs/>
          <w:color w:val="222C3A"/>
        </w:rPr>
        <w:t xml:space="preserve">represents</w:t>
      </w:r>
      <w:r>
        <w:rPr>
          <w:rFonts w:ascii="Arial" w:cs="Arial" w:eastAsia="Arial" w:hAnsi="Arial"/>
          <w:color w:val="222C3A"/>
          <w:sz w:val="19"/>
          <w:szCs w:val="19"/>
        </w:rPr>
        <w:t xml:space="preserve"> infrastructure: it mirrors observed state to improve visibility, simulation, and explanation. An IOM </w:t>
      </w:r>
      <w:r>
        <w:rPr>
          <w:rFonts w:ascii="Arial" w:cs="Arial" w:eastAsia="Arial" w:hAnsi="Arial"/>
          <w:i/>
          <w:iCs/>
          <w:color w:val="222C3A"/>
        </w:rPr>
        <w:t xml:space="preserve">governs</w:t>
      </w:r>
      <w:r>
        <w:rPr>
          <w:rFonts w:ascii="Arial" w:cs="Arial" w:eastAsia="Arial" w:hAnsi="Arial"/>
          <w:color w:val="222C3A"/>
          <w:sz w:val="19"/>
          <w:szCs w:val="19"/>
        </w:rPr>
        <w:t xml:space="preserve"> infrastructure: it establishes authoritative intent, ownership, and legitimacy before anything is created or changed. A twin can tell you a resource exists, that it changed, that its traffic increased. Only an IOM can tell you that the resource </w:t>
      </w:r>
      <w:r>
        <w:rPr>
          <w:rFonts w:ascii="Arial" w:cs="Arial" w:eastAsia="Arial" w:hAnsi="Arial"/>
          <w:i/>
          <w:iCs/>
          <w:color w:val="222C3A"/>
        </w:rPr>
        <w:t xml:space="preserve">should not exist</w:t>
      </w:r>
      <w:r>
        <w:rPr>
          <w:rFonts w:ascii="Arial" w:cs="Arial" w:eastAsia="Arial" w:hAnsi="Arial"/>
          <w:color w:val="222C3A"/>
          <w:sz w:val="19"/>
          <w:szCs w:val="19"/>
        </w:rPr>
        <w:t xml:space="preserve">. That judgment — legitimacy — is the real boundary of the category, and it is the one thing representation can never produce.</w:t>
      </w:r>
    </w:p>
    <w:p>
      <w:pPr>
        <w:pBdr>
          <w:bottom w:val="single" w:color="D9D2C6" w:sz="6" w:space="6"/>
        </w:pBdr>
        <w:spacing w:after="40"/>
      </w:pPr>
    </w:p>
    <w:p>
      <w:pPr>
        <w:spacing w:after="120"/>
      </w:pPr>
      <w:r>
        <w:rPr>
          <w:rFonts w:ascii="Arial" w:cs="Arial" w:eastAsia="Arial" w:hAnsi="Arial"/>
          <w:i/>
          <w:iCs/>
          <w:color w:val="4A5568"/>
          <w:sz w:val="16"/>
          <w:szCs w:val="16"/>
        </w:rPr>
        <w:t xml:space="preserve">An open publication of The IOM Standard. Distributed under CC BY 4.0. “Proposed standard” — vendor-neutral, community-governed. · theIOM.org</w:t>
      </w:r>
    </w:p>
    <w:p>
      <w:r>
        <w:br w:type="page"/>
      </w:r>
    </w:p>
    <w:p>
      <w:pPr>
        <w:pStyle w:val="Heading1"/>
        <w:pBdr>
          <w:bottom w:val="single" w:color="C8920A" w:sz="12" w:space="4"/>
        </w:pBdr>
        <w:spacing w:after="120" w:before="320"/>
      </w:pPr>
      <w:r>
        <w:rPr>
          <w:rFonts w:ascii="Georgia" w:cs="Georgia" w:eastAsia="Georgia" w:hAnsi="Georgia"/>
          <w:b/>
          <w:bCs/>
          <w:color w:val="1B2D4F"/>
          <w:sz w:val="30"/>
          <w:szCs w:val="30"/>
        </w:rPr>
        <w:t xml:space="preserve">1. The purpose of a digital twin</w:t>
      </w:r>
    </w:p>
    <w:p>
      <w:pPr>
        <w:spacing w:after="160" w:line="300"/>
        <w:jc w:val="both"/>
      </w:pPr>
      <w:r>
        <w:rPr>
          <w:rFonts w:ascii="Arial" w:cs="Arial" w:eastAsia="Arial" w:hAnsi="Arial"/>
          <w:color w:val="222C3A"/>
          <w:sz w:val="21"/>
          <w:szCs w:val="21"/>
        </w:rPr>
        <w:t xml:space="preserve">A digital twin is designed to describe reality. In infrastructure contexts it mirrors assets, configurations, and relationships; reflects observed runtime state and telemetry; supports visualization, simulation, and “what-if” analysis; and helps operators understand behavior and dependencies.</w:t>
      </w:r>
    </w:p>
    <w:p>
      <w:pPr>
        <w:spacing w:after="160" w:line="300"/>
        <w:jc w:val="both"/>
      </w:pPr>
      <w:r>
        <w:rPr>
          <w:rFonts w:ascii="Arial" w:cs="Arial" w:eastAsia="Arial" w:hAnsi="Arial"/>
          <w:color w:val="222C3A"/>
          <w:sz w:val="21"/>
          <w:szCs w:val="21"/>
        </w:rPr>
        <w:t xml:space="preserve">The core value of a twin is fidelity of representation — the closer the model mirrors reality, the more useful it is for explanation and analysis. Twins are therefore anchored in runtime observation: when infrastructure changes, the twin updates to reflect what exists. That design is powerful, but it also defines the ceiling of what a twin can do.</w:t>
      </w:r>
    </w:p>
    <w:p>
      <w:pPr>
        <w:pStyle w:val="Heading1"/>
        <w:pBdr>
          <w:bottom w:val="single" w:color="C8920A" w:sz="12" w:space="4"/>
        </w:pBdr>
        <w:spacing w:after="120" w:before="320"/>
      </w:pPr>
      <w:r>
        <w:rPr>
          <w:rFonts w:ascii="Georgia" w:cs="Georgia" w:eastAsia="Georgia" w:hAnsi="Georgia"/>
          <w:b/>
          <w:bCs/>
          <w:color w:val="1B2D4F"/>
          <w:sz w:val="30"/>
          <w:szCs w:val="30"/>
        </w:rPr>
        <w:t xml:space="preserve">2. The purpose of an Infrastructure Operating Model</w:t>
      </w:r>
    </w:p>
    <w:p>
      <w:pPr>
        <w:spacing w:after="160" w:line="300"/>
        <w:jc w:val="both"/>
      </w:pPr>
      <w:r>
        <w:rPr>
          <w:rFonts w:ascii="Arial" w:cs="Arial" w:eastAsia="Arial" w:hAnsi="Arial"/>
          <w:color w:val="222C3A"/>
          <w:sz w:val="21"/>
          <w:szCs w:val="21"/>
        </w:rPr>
        <w:t xml:space="preserve">An Infrastructure Operating Model is designed to govern reality, not merely reflect it. An IOM introduces an authority layer that defines what infrastructure is allowed to exist; how it may behave, interact, and evolve; who owns outcomes and escalation paths; which changes are legitimate before execution; and how observed behavior is reconciled against governing intent.</w:t>
      </w:r>
    </w:p>
    <w:p>
      <w:pPr>
        <w:spacing w:after="160" w:line="300"/>
        <w:jc w:val="both"/>
      </w:pPr>
      <w:r>
        <w:rPr>
          <w:rFonts w:ascii="Arial" w:cs="Arial" w:eastAsia="Arial" w:hAnsi="Arial"/>
          <w:color w:val="222C3A"/>
          <w:sz w:val="21"/>
          <w:szCs w:val="21"/>
        </w:rPr>
        <w:t xml:space="preserve">Rather than mirroring reality, an IOM establishes normative constraints that reality must conform to. Its value lies not in visibility, but in decision authority.</w:t>
      </w:r>
    </w:p>
    <w:p>
      <w:pPr>
        <w:pBdr>
          <w:left w:val="single" w:color="C8920A" w:sz="24" w:space="12"/>
        </w:pBdr>
        <w:spacing w:after="180" w:before="180" w:line="300"/>
        <w:ind w:left="360"/>
      </w:pPr>
      <w:r>
        <w:rPr>
          <w:rFonts w:ascii="Georgia" w:cs="Georgia" w:eastAsia="Georgia" w:hAnsi="Georgia"/>
          <w:i/>
          <w:iCs/>
          <w:color w:val="1B2D4F"/>
          <w:sz w:val="26"/>
          <w:szCs w:val="26"/>
        </w:rPr>
        <w:t xml:space="preserve">A digital twin can tell you a VM exists, that it changed, that its traffic increased. An IOM can tell you something a twin never can: that the VM should not exist. The first three are observations. The last is a judgment of legitimacy — and legitimacy, not representation, is where the category begins.</w:t>
      </w:r>
    </w:p>
    <w:p>
      <w:pPr>
        <w:pStyle w:val="Heading1"/>
        <w:pBdr>
          <w:bottom w:val="single" w:color="C8920A" w:sz="12" w:space="4"/>
        </w:pBdr>
        <w:spacing w:after="120" w:before="320"/>
      </w:pPr>
      <w:r>
        <w:rPr>
          <w:rFonts w:ascii="Georgia" w:cs="Georgia" w:eastAsia="Georgia" w:hAnsi="Georgia"/>
          <w:b/>
          <w:bCs/>
          <w:color w:val="1B2D4F"/>
          <w:sz w:val="30"/>
          <w:szCs w:val="30"/>
        </w:rPr>
        <w:t xml:space="preserve">3. What “intent” means in an IOM</w:t>
      </w:r>
    </w:p>
    <w:p>
      <w:pPr>
        <w:spacing w:after="160" w:line="300"/>
        <w:jc w:val="both"/>
      </w:pPr>
      <w:r>
        <w:rPr>
          <w:rFonts w:ascii="Arial" w:cs="Arial" w:eastAsia="Arial" w:hAnsi="Arial"/>
          <w:color w:val="222C3A"/>
          <w:sz w:val="21"/>
          <w:szCs w:val="21"/>
        </w:rPr>
        <w:t xml:space="preserve">Intent is the explicit, authoritative declaration of how infrastructure is allowed to behave, interact, and evolve — independent of how it is implemented. Intent answers “what must be true,” not “how it is done.” That separation is everything.</w:t>
      </w:r>
    </w:p>
    <w:p>
      <w:pPr>
        <w:pStyle w:val="Heading2"/>
        <w:spacing w:after="80" w:before="200"/>
      </w:pPr>
      <w:r>
        <w:rPr>
          <w:rFonts w:ascii="Arial" w:cs="Arial" w:eastAsia="Arial" w:hAnsi="Arial"/>
          <w:b/>
          <w:bCs/>
          <w:color w:val="4A5568"/>
          <w:sz w:val="23"/>
          <w:szCs w:val="23"/>
        </w:rPr>
        <w:t xml:space="preserve">What intent is not</w:t>
      </w:r>
    </w:p>
    <w:p>
      <w:pPr>
        <w:spacing w:after="160" w:line="300"/>
        <w:jc w:val="both"/>
      </w:pPr>
      <w:r>
        <w:rPr>
          <w:rFonts w:ascii="Arial" w:cs="Arial" w:eastAsia="Arial" w:hAnsi="Arial"/>
          <w:color w:val="222C3A"/>
          <w:sz w:val="21"/>
          <w:szCs w:val="21"/>
        </w:rPr>
        <w:t xml:space="preserve">Intent is not a configuration file, a Terraform plan, a firewall rule, a ticket description, a policy checkbox, or a diagram in a wiki. Those are implementations. Intent is the governing meaning behind them — and it exists as a separate concept so that meaning survives change. Tools, vendors, automation, and AI agents all change; if meaning is embedded inside scripts, configs, and tickets, it is fragile and easily lost.</w:t>
      </w:r>
    </w:p>
    <w:p>
      <w:pPr>
        <w:pStyle w:val="Heading1"/>
        <w:pBdr>
          <w:bottom w:val="single" w:color="C8920A" w:sz="12" w:space="4"/>
        </w:pBdr>
        <w:spacing w:after="120" w:before="320"/>
      </w:pPr>
      <w:r>
        <w:rPr>
          <w:rFonts w:ascii="Georgia" w:cs="Georgia" w:eastAsia="Georgia" w:hAnsi="Georgia"/>
          <w:b/>
          <w:bCs/>
          <w:color w:val="1B2D4F"/>
          <w:sz w:val="30"/>
          <w:szCs w:val="30"/>
        </w:rPr>
        <w:t xml:space="preserve">4. The three-layer model</w:t>
      </w:r>
    </w:p>
    <w:p>
      <w:pPr>
        <w:spacing w:after="160" w:line="300"/>
        <w:jc w:val="both"/>
      </w:pPr>
      <w:r>
        <w:rPr>
          <w:rFonts w:ascii="Arial" w:cs="Arial" w:eastAsia="Arial" w:hAnsi="Arial"/>
          <w:color w:val="222C3A"/>
          <w:sz w:val="21"/>
          <w:szCs w:val="21"/>
        </w:rPr>
        <w:t xml:space="preserve">Infrastructure reality always exists across three layers. An IOM governs by continuously reconciling all three; a digital twin primarily models the third.</w:t>
      </w:r>
    </w:p>
    <w:p>
      <w:pPr>
        <w:spacing w:after="4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shd w:fill="1B2D4F" w:val="clear"/>
            <w:tcMar>
              <w:top w:type="dxa" w:w="80"/>
              <w:left w:type="dxa" w:w="120"/>
              <w:bottom w:type="dxa" w:w="80"/>
              <w:right w:type="dxa" w:w="120"/>
            </w:tcMar>
          </w:tcPr>
          <w:p>
            <w:r>
              <w:rPr>
                <w:rFonts w:ascii="Arial" w:cs="Arial" w:eastAsia="Arial" w:hAnsi="Arial"/>
                <w:b/>
                <w:bCs/>
                <w:color w:val="FFFFFF"/>
                <w:sz w:val="18"/>
                <w:szCs w:val="18"/>
              </w:rPr>
              <w:t xml:space="preserve">Layer</w:t>
            </w:r>
          </w:p>
        </w:tc>
        <w:tc>
          <w:tcPr>
            <w:tcW w:type="dxa" w:w="3120"/>
            <w:shd w:fill="1B2D4F" w:val="clear"/>
            <w:tcMar>
              <w:top w:type="dxa" w:w="80"/>
              <w:left w:type="dxa" w:w="120"/>
              <w:bottom w:type="dxa" w:w="80"/>
              <w:right w:type="dxa" w:w="120"/>
            </w:tcMar>
          </w:tcPr>
          <w:p>
            <w:r>
              <w:rPr>
                <w:rFonts w:ascii="Arial" w:cs="Arial" w:eastAsia="Arial" w:hAnsi="Arial"/>
                <w:b/>
                <w:bCs/>
                <w:color w:val="FFFFFF"/>
                <w:sz w:val="18"/>
                <w:szCs w:val="18"/>
              </w:rPr>
              <w:t xml:space="preserve">What it answers</w:t>
            </w:r>
          </w:p>
        </w:tc>
        <w:tc>
          <w:tcPr>
            <w:tcW w:type="dxa" w:w="3120"/>
            <w:shd w:fill="1B2D4F" w:val="clear"/>
            <w:tcMar>
              <w:top w:type="dxa" w:w="80"/>
              <w:left w:type="dxa" w:w="120"/>
              <w:bottom w:type="dxa" w:w="80"/>
              <w:right w:type="dxa" w:w="120"/>
            </w:tcMar>
          </w:tcPr>
          <w:p>
            <w:r>
              <w:rPr>
                <w:rFonts w:ascii="Arial" w:cs="Arial" w:eastAsia="Arial" w:hAnsi="Arial"/>
                <w:b/>
                <w:bCs/>
                <w:color w:val="FFFFFF"/>
                <w:sz w:val="18"/>
                <w:szCs w:val="18"/>
              </w:rPr>
              <w:t xml:space="preserve">Character</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1 · Intent</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Why / what must be true — e.g. “customer data must never leave region X”</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Stable, human-meaningful, governing</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2 · Implementation</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How it is done — subnets, security groups, IAM, routing, Terraform</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Flexible, replaceable, tool-specific</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3 · Runtime reality</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What is actually happening — live traffic, active permissions, drift</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Dynamic, often surprising</w:t>
            </w:r>
          </w:p>
        </w:tc>
      </w:tr>
    </w:tbl>
    <w:p>
      <w:pPr>
        <w:spacing w:after="160" w:before="60"/>
      </w:pPr>
      <w:r>
        <w:rPr>
          <w:rFonts w:ascii="Arial" w:cs="Arial" w:eastAsia="Arial" w:hAnsi="Arial"/>
          <w:i/>
          <w:iCs/>
          <w:color w:val="4A5568"/>
          <w:sz w:val="16"/>
          <w:szCs w:val="16"/>
        </w:rPr>
        <w:t xml:space="preserve">Digital twins model Layer 3. IOMs govern Layer 1 and constrain Layers 2 and 3.</w:t>
      </w:r>
    </w:p>
    <w:p>
      <w:pPr>
        <w:pStyle w:val="Heading1"/>
        <w:pBdr>
          <w:bottom w:val="single" w:color="C8920A" w:sz="12" w:space="4"/>
        </w:pBdr>
        <w:spacing w:after="120" w:before="320"/>
      </w:pPr>
      <w:r>
        <w:rPr>
          <w:rFonts w:ascii="Georgia" w:cs="Georgia" w:eastAsia="Georgia" w:hAnsi="Georgia"/>
          <w:b/>
          <w:bCs/>
          <w:color w:val="1B2D4F"/>
          <w:sz w:val="30"/>
          <w:szCs w:val="30"/>
        </w:rPr>
        <w:t xml:space="preserve">5. Types of intent</w:t>
      </w:r>
    </w:p>
    <w:p>
      <w:pPr>
        <w:spacing w:after="160" w:line="300"/>
        <w:jc w:val="both"/>
      </w:pPr>
      <w:r>
        <w:rPr>
          <w:rFonts w:ascii="Arial" w:cs="Arial" w:eastAsia="Arial" w:hAnsi="Arial"/>
          <w:color w:val="222C3A"/>
          <w:sz w:val="21"/>
          <w:szCs w:val="21"/>
        </w:rPr>
        <w:t xml:space="preserve">Intent is concrete, not abstract. An IOM distinguishes several kinds: </w:t>
      </w:r>
      <w:r>
        <w:rPr>
          <w:rFonts w:ascii="Arial" w:cs="Arial" w:eastAsia="Arial" w:hAnsi="Arial"/>
          <w:b/>
          <w:bCs/>
          <w:color w:val="1B2D4F"/>
        </w:rPr>
        <w:t xml:space="preserve">architectural intent</w:t>
      </w:r>
      <w:r>
        <w:rPr>
          <w:rFonts w:ascii="Arial" w:cs="Arial" w:eastAsia="Arial" w:hAnsi="Arial"/>
          <w:color w:val="222C3A"/>
          <w:sz w:val="21"/>
          <w:szCs w:val="21"/>
        </w:rPr>
        <w:t xml:space="preserve"> — allowed structures (“production and non-production must never share identity boundaries”); </w:t>
      </w:r>
      <w:r>
        <w:rPr>
          <w:rFonts w:ascii="Arial" w:cs="Arial" w:eastAsia="Arial" w:hAnsi="Arial"/>
          <w:b/>
          <w:bCs/>
          <w:color w:val="1B2D4F"/>
        </w:rPr>
        <w:t xml:space="preserve">policy intent</w:t>
      </w:r>
      <w:r>
        <w:rPr>
          <w:rFonts w:ascii="Arial" w:cs="Arial" w:eastAsia="Arial" w:hAnsi="Arial"/>
          <w:color w:val="222C3A"/>
          <w:sz w:val="21"/>
          <w:szCs w:val="21"/>
        </w:rPr>
        <w:t xml:space="preserve"> — why a rule exists (the rule is “port 22 blocked”; the intent is “no unmanaged administrative access paths”); </w:t>
      </w:r>
      <w:r>
        <w:rPr>
          <w:rFonts w:ascii="Arial" w:cs="Arial" w:eastAsia="Arial" w:hAnsi="Arial"/>
          <w:b/>
          <w:bCs/>
          <w:color w:val="1B2D4F"/>
        </w:rPr>
        <w:t xml:space="preserve">ownership &amp; accountability intent</w:t>
      </w:r>
      <w:r>
        <w:rPr>
          <w:rFonts w:ascii="Arial" w:cs="Arial" w:eastAsia="Arial" w:hAnsi="Arial"/>
          <w:color w:val="222C3A"/>
          <w:sz w:val="21"/>
          <w:szCs w:val="21"/>
        </w:rPr>
        <w:t xml:space="preserve"> — “this team owns blast radius for this dependency chain”; and </w:t>
      </w:r>
      <w:r>
        <w:rPr>
          <w:rFonts w:ascii="Arial" w:cs="Arial" w:eastAsia="Arial" w:hAnsi="Arial"/>
          <w:b/>
          <w:bCs/>
          <w:color w:val="1B2D4F"/>
        </w:rPr>
        <w:t xml:space="preserve">operational intent</w:t>
      </w:r>
      <w:r>
        <w:rPr>
          <w:rFonts w:ascii="Arial" w:cs="Arial" w:eastAsia="Arial" w:hAnsi="Arial"/>
          <w:color w:val="222C3A"/>
          <w:sz w:val="21"/>
          <w:szCs w:val="21"/>
        </w:rPr>
        <w:t xml:space="preserve"> — how change is allowed (“this class of changes may be autonomous; this always escalates to a human”). This is how governed autonomy works.</w:t>
      </w:r>
    </w:p>
    <w:p>
      <w:pPr>
        <w:pStyle w:val="Heading1"/>
        <w:pBdr>
          <w:bottom w:val="single" w:color="C8920A" w:sz="12" w:space="4"/>
        </w:pBdr>
        <w:spacing w:after="120" w:before="320"/>
      </w:pPr>
      <w:r>
        <w:rPr>
          <w:rFonts w:ascii="Georgia" w:cs="Georgia" w:eastAsia="Georgia" w:hAnsi="Georgia"/>
          <w:b/>
          <w:bCs/>
          <w:color w:val="1B2D4F"/>
          <w:sz w:val="30"/>
          <w:szCs w:val="30"/>
        </w:rPr>
        <w:t xml:space="preserve">6. Where intent lives today</w:t>
      </w:r>
    </w:p>
    <w:p>
      <w:pPr>
        <w:spacing w:after="160" w:line="300"/>
        <w:jc w:val="both"/>
      </w:pPr>
      <w:r>
        <w:rPr>
          <w:rFonts w:ascii="Arial" w:cs="Arial" w:eastAsia="Arial" w:hAnsi="Arial"/>
          <w:color w:val="222C3A"/>
          <w:sz w:val="21"/>
          <w:szCs w:val="21"/>
        </w:rPr>
        <w:t xml:space="preserve">In most enterprises intent exists — but implicitly. It is scattered across tickets and approvals, architecture documents, policy statements, IaC repositories, and tribal knowledge. Within ITSM models intent is implicit, reconstructed after the fact, validated by humans, and lost once execution completes. ITSM coordinates workflows; it does not govern architectural legitimacy.</w:t>
      </w:r>
    </w:p>
    <w:p>
      <w:pPr>
        <w:pStyle w:val="Heading1"/>
        <w:pBdr>
          <w:bottom w:val="single" w:color="C8920A" w:sz="12" w:space="4"/>
        </w:pBdr>
        <w:spacing w:after="120" w:before="320"/>
      </w:pPr>
      <w:r>
        <w:rPr>
          <w:rFonts w:ascii="Georgia" w:cs="Georgia" w:eastAsia="Georgia" w:hAnsi="Georgia"/>
          <w:b/>
          <w:bCs/>
          <w:color w:val="1B2D4F"/>
          <w:sz w:val="30"/>
          <w:szCs w:val="30"/>
        </w:rPr>
        <w:t xml:space="preserve">7. Representation vs. authority</w:t>
      </w:r>
    </w:p>
    <w:p>
      <w:pPr>
        <w:spacing w:after="160" w:line="300"/>
        <w:jc w:val="both"/>
      </w:pPr>
      <w:r>
        <w:rPr>
          <w:rFonts w:ascii="Arial" w:cs="Arial" w:eastAsia="Arial" w:hAnsi="Arial"/>
          <w:color w:val="222C3A"/>
          <w:sz w:val="21"/>
          <w:szCs w:val="21"/>
        </w:rPr>
        <w:t xml:space="preserve">The core distinction between a digital twin and an IOM is the difference between representation and authority.</w:t>
      </w:r>
    </w:p>
    <w:p>
      <w:pPr>
        <w:spacing w:after="4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shd w:fill="1B2D4F" w:val="clear"/>
            <w:tcMar>
              <w:top w:type="dxa" w:w="80"/>
              <w:left w:type="dxa" w:w="120"/>
              <w:bottom w:type="dxa" w:w="80"/>
              <w:right w:type="dxa" w:w="120"/>
            </w:tcMar>
          </w:tcPr>
          <w:p>
            <w:r>
              <w:rPr>
                <w:rFonts w:ascii="Arial" w:cs="Arial" w:eastAsia="Arial" w:hAnsi="Arial"/>
                <w:b/>
                <w:bCs/>
                <w:color w:val="FFFFFF"/>
                <w:sz w:val="18"/>
                <w:szCs w:val="18"/>
              </w:rPr>
              <w:t xml:space="preserve">Dimension</w:t>
            </w:r>
          </w:p>
        </w:tc>
        <w:tc>
          <w:tcPr>
            <w:tcW w:type="dxa" w:w="3120"/>
            <w:shd w:fill="1B2D4F" w:val="clear"/>
            <w:tcMar>
              <w:top w:type="dxa" w:w="80"/>
              <w:left w:type="dxa" w:w="120"/>
              <w:bottom w:type="dxa" w:w="80"/>
              <w:right w:type="dxa" w:w="120"/>
            </w:tcMar>
          </w:tcPr>
          <w:p>
            <w:r>
              <w:rPr>
                <w:rFonts w:ascii="Arial" w:cs="Arial" w:eastAsia="Arial" w:hAnsi="Arial"/>
                <w:b/>
                <w:bCs/>
                <w:color w:val="FFFFFF"/>
                <w:sz w:val="18"/>
                <w:szCs w:val="18"/>
              </w:rPr>
              <w:t xml:space="preserve">Digital Twin</w:t>
            </w:r>
          </w:p>
        </w:tc>
        <w:tc>
          <w:tcPr>
            <w:tcW w:type="dxa" w:w="3120"/>
            <w:shd w:fill="1B2D4F" w:val="clear"/>
            <w:tcMar>
              <w:top w:type="dxa" w:w="80"/>
              <w:left w:type="dxa" w:w="120"/>
              <w:bottom w:type="dxa" w:w="80"/>
              <w:right w:type="dxa" w:w="120"/>
            </w:tcMar>
          </w:tcPr>
          <w:p>
            <w:r>
              <w:rPr>
                <w:rFonts w:ascii="Arial" w:cs="Arial" w:eastAsia="Arial" w:hAnsi="Arial"/>
                <w:b/>
                <w:bCs/>
                <w:color w:val="FFFFFF"/>
                <w:sz w:val="18"/>
                <w:szCs w:val="18"/>
              </w:rPr>
              <w:t xml:space="preserve">IOM</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Primary function</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Describe infrastructure</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Govern infrastructure</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Source of truth</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Observed state</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Declared intent</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Relationship to execution</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Post-hoc</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Pre-execution</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Role of telemetry</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Central</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Secondary</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Treatment of drift</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Detected</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Invalidated</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Governance</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External</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Embedded</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AI safety</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Informational</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Deterministic</w:t>
            </w:r>
          </w:p>
        </w:tc>
      </w:tr>
    </w:tbl>
    <w:p>
      <w:pPr>
        <w:spacing w:after="160" w:before="60"/>
      </w:pPr>
      <w:r>
        <w:rPr>
          <w:rFonts w:ascii="Arial" w:cs="Arial" w:eastAsia="Arial" w:hAnsi="Arial"/>
          <w:i/>
          <w:iCs/>
          <w:color w:val="4A5568"/>
          <w:sz w:val="16"/>
          <w:szCs w:val="16"/>
        </w:rPr>
        <w:t xml:space="preserve">A digital twin answers “what exists and what might happen?” An IOM answers “is this allowed, and should it proceed?”</w:t>
      </w:r>
    </w:p>
    <w:p>
      <w:pPr>
        <w:pBdr>
          <w:left w:val="single" w:color="C8920A" w:sz="24" w:space="12"/>
        </w:pBdr>
        <w:spacing w:after="180" w:before="180" w:line="300"/>
        <w:ind w:left="360"/>
      </w:pPr>
      <w:r>
        <w:rPr>
          <w:rFonts w:ascii="Georgia" w:cs="Georgia" w:eastAsia="Georgia" w:hAnsi="Georgia"/>
          <w:i/>
          <w:iCs/>
          <w:color w:val="1B2D4F"/>
          <w:sz w:val="26"/>
          <w:szCs w:val="26"/>
        </w:rPr>
        <w:t xml:space="preserve">Representation and authority are different functions. A digital twin observes, models, simulates, and explains — answering “what exists?” An IOM declares intent, validates, authorizes, and governs — answering “what is legitimate?” No increase in the fidelity of representation ever produces that authority: authority is a different kind of fact, and it has to be stated.</w:t>
      </w:r>
    </w:p>
    <w:p>
      <w:pPr>
        <w:pStyle w:val="Heading1"/>
        <w:pBdr>
          <w:bottom w:val="single" w:color="C8920A" w:sz="12" w:space="4"/>
        </w:pBdr>
        <w:spacing w:after="120" w:before="320"/>
      </w:pPr>
      <w:r>
        <w:rPr>
          <w:rFonts w:ascii="Georgia" w:cs="Georgia" w:eastAsia="Georgia" w:hAnsi="Georgia"/>
          <w:b/>
          <w:bCs/>
          <w:color w:val="1B2D4F"/>
          <w:sz w:val="30"/>
          <w:szCs w:val="30"/>
        </w:rPr>
        <w:t xml:space="preserve">8. Conclusion</w:t>
      </w:r>
    </w:p>
    <w:p>
      <w:pPr>
        <w:spacing w:after="160" w:line="300"/>
        <w:jc w:val="both"/>
      </w:pPr>
      <w:r>
        <w:rPr>
          <w:rFonts w:ascii="Arial" w:cs="Arial" w:eastAsia="Arial" w:hAnsi="Arial"/>
          <w:color w:val="222C3A"/>
          <w:sz w:val="21"/>
          <w:szCs w:val="21"/>
        </w:rPr>
        <w:t xml:space="preserve">Digital twins and Infrastructure Operating Models are complementary, not competing — but they are not interchangeable, and the difference is not one of maturity. A twin makes infrastructure visible; an IOM makes it governable. As automation accelerates and AI begins to act, the question stops being “what does our infrastructure look like?” and becomes “is this change legitimate, and should it proceed?” Only an authority layer answers that. Representation is necessary. It is not sufficient.</w:t>
      </w:r>
    </w:p>
    <w:p>
      <w:pPr>
        <w:pBdr>
          <w:top w:val="single" w:color="D9D2C6" w:sz="6" w:space="8"/>
        </w:pBdr>
        <w:spacing w:before="280" w:line="280"/>
        <w:jc w:val="both"/>
      </w:pPr>
      <w:r>
        <w:rPr>
          <w:rFonts w:ascii="Arial" w:cs="Arial" w:eastAsia="Arial" w:hAnsi="Arial"/>
          <w:i/>
          <w:iCs/>
          <w:color w:val="4A5568"/>
          <w:sz w:val="19"/>
          <w:szCs w:val="19"/>
        </w:rPr>
        <w:t xml:space="preserve">This is a category paper in the IOM Standard library. It establishes the boundary between representation and authority; it does not restate the normative requirements of the IOM Standard. The IOM Standard is an open, vendor-neutral specification — learn more at theIOM.org.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outlineLvl w:val="0"/>
    </w:pPr>
    <w:rPr>
      <w:rFonts w:ascii="Georgia" w:cs="Georgia" w:eastAsia="Georgia" w:hAnsi="Georgia"/>
      <w:b/>
      <w:bCs/>
      <w:color w:val="1B2D4F"/>
      <w:sz w:val="30"/>
      <w:szCs w:val="30"/>
    </w:rPr>
  </w:style>
  <w:style w:type="paragraph" w:styleId="Heading2">
    <w:name w:val="Heading 2"/>
    <w:basedOn w:val="Normal"/>
    <w:next w:val="Normal"/>
    <w:qFormat/>
    <w:pPr>
      <w:outlineLvl w:val="1"/>
    </w:pPr>
    <w:rPr>
      <w:rFonts w:ascii="Arial" w:cs="Arial" w:eastAsia="Arial" w:hAnsi="Arial"/>
      <w:b/>
      <w:bCs/>
      <w:color w:val="4A5568"/>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2026-06-28T13:22:16.863Z</dcterms:created>
  <dcterms:modified xsi:type="dcterms:W3CDTF">2026-06-28T13:22:16.863Z</dcterms:modified>
</cp:coreProperties>
</file>

<file path=docProps/custom.xml><?xml version="1.0" encoding="utf-8"?>
<Properties xmlns="http://schemas.openxmlformats.org/officeDocument/2006/custom-properties" xmlns:vt="http://schemas.openxmlformats.org/officeDocument/2006/docPropsVTypes"/>
</file>