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Georgia" w:cs="Georgia" w:eastAsia="Georgia" w:hAnsi="Georgia"/>
          <w:b/>
          <w:bCs/>
          <w:color w:val="1B2D4F"/>
          <w:sz w:val="36"/>
          <w:szCs w:val="36"/>
        </w:rPr>
        <w:t xml:space="preserve">iOM</w:t>
      </w:r>
    </w:p>
    <w:p>
      <w:pPr>
        <w:pBdr>
          <w:bottom w:val="single" w:color="D9D2C6" w:sz="6" w:space="6"/>
        </w:pBdr>
        <w:spacing w:after="200"/>
      </w:pPr>
      <w:r>
        <w:rPr>
          <w:rFonts w:ascii="Arial" w:cs="Arial" w:eastAsia="Arial" w:hAnsi="Arial"/>
          <w:b/>
          <w:bCs/>
          <w:color w:val="C8920A"/>
          <w:sz w:val="16"/>
          <w:szCs w:val="16"/>
        </w:rPr>
        <w:t xml:space="preserve">AN IOM STANDARD WHITEPAPER</w:t>
      </w:r>
    </w:p>
    <w:p>
      <w:pPr>
        <w:spacing w:after="60"/>
      </w:pPr>
      <w:r>
        <w:rPr>
          <w:rFonts w:ascii="Arial" w:cs="Arial" w:eastAsia="Arial" w:hAnsi="Arial"/>
          <w:b/>
          <w:bCs/>
          <w:color w:val="C8920A"/>
          <w:sz w:val="18"/>
          <w:szCs w:val="18"/>
        </w:rPr>
        <w:t xml:space="preserve">SECURITY · ZERO TRUST · AI GOVERNANCE</w:t>
      </w:r>
    </w:p>
    <w:p>
      <w:pPr>
        <w:spacing w:after="120"/>
      </w:pPr>
      <w:r>
        <w:rPr>
          <w:rFonts w:ascii="Georgia" w:cs="Georgia" w:eastAsia="Georgia" w:hAnsi="Georgia"/>
          <w:b/>
          <w:bCs/>
          <w:color w:val="1B2D4F"/>
          <w:sz w:val="48"/>
          <w:szCs w:val="48"/>
        </w:rPr>
        <w:t xml:space="preserve">Security Is an Operating-Model Problem.</w:t>
      </w:r>
    </w:p>
    <w:p>
      <w:pPr>
        <w:spacing w:after="160"/>
      </w:pPr>
      <w:r>
        <w:rPr>
          <w:rFonts w:ascii="Arial" w:cs="Arial" w:eastAsia="Arial" w:hAnsi="Arial"/>
          <w:i/>
          <w:iCs/>
          <w:color w:val="4A5568"/>
          <w:sz w:val="26"/>
          <w:szCs w:val="26"/>
        </w:rPr>
        <w:t xml:space="preserve">Why preventive security and true observability require an authority layer</w:t>
      </w:r>
    </w:p>
    <w:p>
      <w:pPr>
        <w:spacing w:after="60" w:before="120"/>
      </w:pPr>
      <w:r>
        <w:rPr>
          <w:rFonts w:ascii="Arial" w:cs="Arial" w:eastAsia="Arial" w:hAnsi="Arial"/>
          <w:b/>
          <w:bCs/>
          <w:color w:val="C8920A"/>
          <w:sz w:val="16"/>
          <w:szCs w:val="16"/>
        </w:rPr>
        <w:t xml:space="preserve">ABSTRACT</w:t>
      </w:r>
    </w:p>
    <w:p>
      <w:pPr>
        <w:pBdr>
          <w:left w:val="single" w:color="C8920A" w:sz="18" w:space="12"/>
        </w:pBdr>
        <w:spacing w:after="200" w:line="280"/>
        <w:ind w:left="240"/>
        <w:jc w:val="both"/>
      </w:pPr>
      <w:r>
        <w:rPr>
          <w:rFonts w:ascii="Arial" w:cs="Arial" w:eastAsia="Arial" w:hAnsi="Arial"/>
          <w:color w:val="222C3A"/>
          <w:sz w:val="19"/>
          <w:szCs w:val="19"/>
        </w:rPr>
        <w:t xml:space="preserve">Modern security programs fail not for lack of tools, but because they are built on static assumptions in environments that change continuously. Periodic discovery, static inventories, and after-the-fact correlation cannot keep pace with software-defined, automated, AI-influenced infrastructure; posture decays invisibly between scans. The deeper issue is not a tooling gap but an operating-model gap. This paper positions the </w:t>
      </w:r>
      <w:r>
        <w:rPr>
          <w:rFonts w:ascii="Arial" w:cs="Arial" w:eastAsia="Arial" w:hAnsi="Arial"/>
          <w:b/>
          <w:bCs/>
          <w:color w:val="1B2D4F"/>
        </w:rPr>
        <w:t xml:space="preserve">Infrastructure Operating Model (IOM)</w:t>
      </w:r>
      <w:r>
        <w:rPr>
          <w:rFonts w:ascii="Arial" w:cs="Arial" w:eastAsia="Arial" w:hAnsi="Arial"/>
          <w:color w:val="222C3A"/>
          <w:sz w:val="19"/>
          <w:szCs w:val="19"/>
        </w:rPr>
        <w:t xml:space="preserve"> as the authority layer that makes preventive security possible: by holding declared architectural intent — the </w:t>
      </w:r>
      <w:r>
        <w:rPr>
          <w:rFonts w:ascii="Arial" w:cs="Arial" w:eastAsia="Arial" w:hAnsi="Arial"/>
          <w:i/>
          <w:iCs/>
          <w:color w:val="222C3A"/>
        </w:rPr>
        <w:t xml:space="preserve">built state</w:t>
      </w:r>
      <w:r>
        <w:rPr>
          <w:rFonts w:ascii="Arial" w:cs="Arial" w:eastAsia="Arial" w:hAnsi="Arial"/>
          <w:color w:val="222C3A"/>
          <w:sz w:val="19"/>
          <w:szCs w:val="19"/>
        </w:rPr>
        <w:t xml:space="preserve"> — as the binding reference against which observed </w:t>
      </w:r>
      <w:r>
        <w:rPr>
          <w:rFonts w:ascii="Arial" w:cs="Arial" w:eastAsia="Arial" w:hAnsi="Arial"/>
          <w:i/>
          <w:iCs/>
          <w:color w:val="222C3A"/>
        </w:rPr>
        <w:t xml:space="preserve">running state</w:t>
      </w:r>
      <w:r>
        <w:rPr>
          <w:rFonts w:ascii="Arial" w:cs="Arial" w:eastAsia="Arial" w:hAnsi="Arial"/>
          <w:color w:val="222C3A"/>
          <w:sz w:val="19"/>
          <w:szCs w:val="19"/>
        </w:rPr>
        <w:t xml:space="preserve"> is continuously reconciled, the IOM turns drift from a forensic discovery into a preventable condition. Security tools, observability platforms, and AI reason on top of that authoritative model rather than inferring legitimacy from telemetry. The result is a shift from reactive detection to governed prevention, enforceable Zero Trust, and explainable AI.</w:t>
      </w:r>
    </w:p>
    <w:p>
      <w:pPr>
        <w:pBdr>
          <w:bottom w:val="single" w:color="D9D2C6" w:sz="6" w:space="6"/>
        </w:pBdr>
        <w:spacing w:after="40"/>
      </w:pPr>
    </w:p>
    <w:p>
      <w:pPr>
        <w:spacing w:after="120"/>
      </w:pPr>
      <w:r>
        <w:rPr>
          <w:rFonts w:ascii="Arial" w:cs="Arial" w:eastAsia="Arial" w:hAnsi="Arial"/>
          <w:i/>
          <w:iCs/>
          <w:color w:val="4A5568"/>
          <w:sz w:val="16"/>
          <w:szCs w:val="16"/>
        </w:rPr>
        <w:t xml:space="preserve">An open publication of The IOM Standard. Distributed under CC BY 4.0. “Proposed standard” — vendor-neutral, community-governed. · theIOM.org</w:t>
      </w:r>
    </w:p>
    <w:p>
      <w:r>
        <w:br w:type="page"/>
      </w:r>
    </w:p>
    <w:p>
      <w:pPr>
        <w:pStyle w:val="Heading1"/>
        <w:pBdr>
          <w:bottom w:val="single" w:color="C8920A" w:sz="12" w:space="4"/>
        </w:pBdr>
        <w:spacing w:after="120" w:before="320"/>
      </w:pPr>
      <w:r>
        <w:rPr>
          <w:rFonts w:ascii="Georgia" w:cs="Georgia" w:eastAsia="Georgia" w:hAnsi="Georgia"/>
          <w:b/>
          <w:bCs/>
          <w:color w:val="1B2D4F"/>
          <w:sz w:val="30"/>
          <w:szCs w:val="30"/>
        </w:rPr>
        <w:t xml:space="preserve">1. The core problem: static security in a dynamic world</w:t>
      </w:r>
    </w:p>
    <w:p>
      <w:pPr>
        <w:spacing w:after="160" w:line="300"/>
        <w:jc w:val="both"/>
      </w:pPr>
      <w:r>
        <w:rPr>
          <w:rFonts w:ascii="Arial" w:cs="Arial" w:eastAsia="Arial" w:hAnsi="Arial"/>
          <w:color w:val="222C3A"/>
          <w:sz w:val="21"/>
          <w:szCs w:val="21"/>
        </w:rPr>
        <w:t xml:space="preserve">Modern infrastructure has no stable shape. Workloads are ephemeral, networks are software-defined, identities are federated, and change is continuous. Increasingly, infrastructure is modified by pipelines, control planes, and intelligent systems rather than by people. Yet most security architectures still rest on periodic discovery, static inventories, human-maintained documentation, and retrospective correlation of events.</w:t>
      </w:r>
    </w:p>
    <w:p>
      <w:pPr>
        <w:spacing w:after="160" w:line="300"/>
        <w:jc w:val="both"/>
      </w:pPr>
      <w:r>
        <w:rPr>
          <w:rFonts w:ascii="Arial" w:cs="Arial" w:eastAsia="Arial" w:hAnsi="Arial"/>
          <w:color w:val="222C3A"/>
          <w:sz w:val="21"/>
          <w:szCs w:val="21"/>
        </w:rPr>
        <w:t xml:space="preserve">These approaches cannot keep pace. As change accelerates, security posture decays invisibly between scans, reviews, and audits. Risk emerges less from isolated misconfigurations than from unintended interactions, trust expansion, and architectural drift. This is not a tooling failure. It is an operating-model failure — and no amount of additional detection resolves a problem of missing authority.</w:t>
      </w:r>
    </w:p>
    <w:p>
      <w:pPr>
        <w:pBdr>
          <w:left w:val="single" w:color="C8920A" w:sz="24" w:space="12"/>
        </w:pBdr>
        <w:spacing w:after="180" w:before="180" w:line="300"/>
        <w:ind w:left="360"/>
      </w:pPr>
      <w:r>
        <w:rPr>
          <w:rFonts w:ascii="Georgia" w:cs="Georgia" w:eastAsia="Georgia" w:hAnsi="Georgia"/>
          <w:i/>
          <w:iCs/>
          <w:color w:val="1B2D4F"/>
          <w:sz w:val="26"/>
          <w:szCs w:val="26"/>
        </w:rPr>
        <w:t xml:space="preserve">Risk is not created by change alone. It is created when change violates intent — and most security tooling has no authoritative account of what was intended.</w:t>
      </w:r>
    </w:p>
    <w:p>
      <w:pPr>
        <w:pStyle w:val="Heading1"/>
        <w:pBdr>
          <w:bottom w:val="single" w:color="C8920A" w:sz="12" w:space="4"/>
        </w:pBdr>
        <w:spacing w:after="120" w:before="320"/>
      </w:pPr>
      <w:r>
        <w:rPr>
          <w:rFonts w:ascii="Georgia" w:cs="Georgia" w:eastAsia="Georgia" w:hAnsi="Georgia"/>
          <w:b/>
          <w:bCs/>
          <w:color w:val="1B2D4F"/>
          <w:sz w:val="30"/>
          <w:szCs w:val="30"/>
        </w:rPr>
        <w:t xml:space="preserve">2. Built state versus running state</w:t>
      </w:r>
    </w:p>
    <w:p>
      <w:pPr>
        <w:spacing w:after="160" w:line="300"/>
        <w:jc w:val="both"/>
      </w:pPr>
      <w:r>
        <w:rPr>
          <w:rFonts w:ascii="Arial" w:cs="Arial" w:eastAsia="Arial" w:hAnsi="Arial"/>
          <w:color w:val="222C3A"/>
          <w:sz w:val="21"/>
          <w:szCs w:val="21"/>
        </w:rPr>
        <w:t xml:space="preserve">At the heart of modern infrastructure risk is a structural divide between what was designed and what is actually happening. A durable security architecture has to model and govern that divide explicitly, rather than observing only one side of it.</w:t>
      </w:r>
    </w:p>
    <w:p>
      <w:pPr>
        <w:pStyle w:val="Heading2"/>
        <w:spacing w:after="80" w:before="200"/>
      </w:pPr>
      <w:r>
        <w:rPr>
          <w:rFonts w:ascii="Arial" w:cs="Arial" w:eastAsia="Arial" w:hAnsi="Arial"/>
          <w:b/>
          <w:bCs/>
          <w:color w:val="4A5568"/>
          <w:sz w:val="23"/>
          <w:szCs w:val="23"/>
        </w:rPr>
        <w:t xml:space="preserve">Built state: declared design intent</w:t>
      </w:r>
    </w:p>
    <w:p>
      <w:pPr>
        <w:spacing w:after="160" w:line="300"/>
        <w:jc w:val="both"/>
      </w:pPr>
      <w:r>
        <w:rPr>
          <w:rFonts w:ascii="Arial" w:cs="Arial" w:eastAsia="Arial" w:hAnsi="Arial"/>
          <w:color w:val="222C3A"/>
          <w:sz w:val="21"/>
          <w:szCs w:val="21"/>
        </w:rPr>
        <w:t xml:space="preserve">The built state is how infrastructure is </w:t>
      </w:r>
      <w:r>
        <w:rPr>
          <w:rFonts w:ascii="Arial" w:cs="Arial" w:eastAsia="Arial" w:hAnsi="Arial"/>
          <w:i/>
          <w:iCs/>
          <w:color w:val="222C3A"/>
        </w:rPr>
        <w:t xml:space="preserve">intended</w:t>
      </w:r>
      <w:r>
        <w:rPr>
          <w:rFonts w:ascii="Arial" w:cs="Arial" w:eastAsia="Arial" w:hAnsi="Arial"/>
          <w:color w:val="222C3A"/>
          <w:sz w:val="21"/>
          <w:szCs w:val="21"/>
        </w:rPr>
        <w:t xml:space="preserve"> to operate: architecture standards and blueprints, approved network paths and segmentation, trust assumptions and boundaries, blast-radius constraints, ownership and accountability, and policy expressed as design intent. It is declared, not observed.</w:t>
      </w:r>
    </w:p>
    <w:p>
      <w:pPr>
        <w:pStyle w:val="Heading2"/>
        <w:spacing w:after="80" w:before="200"/>
      </w:pPr>
      <w:r>
        <w:rPr>
          <w:rFonts w:ascii="Arial" w:cs="Arial" w:eastAsia="Arial" w:hAnsi="Arial"/>
          <w:b/>
          <w:bCs/>
          <w:color w:val="4A5568"/>
          <w:sz w:val="23"/>
          <w:szCs w:val="23"/>
        </w:rPr>
        <w:t xml:space="preserve">Running state: observed reality</w:t>
      </w:r>
    </w:p>
    <w:p>
      <w:pPr>
        <w:spacing w:after="160" w:line="300"/>
        <w:jc w:val="both"/>
      </w:pPr>
      <w:r>
        <w:rPr>
          <w:rFonts w:ascii="Arial" w:cs="Arial" w:eastAsia="Arial" w:hAnsi="Arial"/>
          <w:color w:val="222C3A"/>
          <w:sz w:val="21"/>
          <w:szCs w:val="21"/>
        </w:rPr>
        <w:t xml:space="preserve">The running state is what is actually happening in production: live network flows, service-to-service communication, identity usage and privilege paths, emergent dependencies, and runtime configuration. It is observed, and frequently surprising.</w:t>
      </w:r>
    </w:p>
    <w:p>
      <w:pPr>
        <w:spacing w:after="160" w:line="300"/>
        <w:jc w:val="both"/>
      </w:pPr>
      <w:r>
        <w:rPr>
          <w:rFonts w:ascii="Arial" w:cs="Arial" w:eastAsia="Arial" w:hAnsi="Arial"/>
          <w:color w:val="222C3A"/>
          <w:sz w:val="21"/>
          <w:szCs w:val="21"/>
        </w:rPr>
        <w:t xml:space="preserve">Traditional security and observability platforms primarily watch the running state. They lack an authoritative account of the built state, and therefore cannot determine legitimacy, intent, or architectural correctness — only that something changed. The Infrastructure Operating Model exists to continuously reconcile and govern the divide between the two, turning drift from a forensic discovery into a preventable condition.</w:t>
      </w:r>
    </w:p>
    <w:p>
      <w:pPr>
        <w:pStyle w:val="Heading1"/>
        <w:pBdr>
          <w:bottom w:val="single" w:color="C8920A" w:sz="12" w:space="4"/>
        </w:pBdr>
        <w:spacing w:after="120" w:before="320"/>
      </w:pPr>
      <w:r>
        <w:rPr>
          <w:rFonts w:ascii="Georgia" w:cs="Georgia" w:eastAsia="Georgia" w:hAnsi="Georgia"/>
          <w:b/>
          <w:bCs/>
          <w:color w:val="1B2D4F"/>
          <w:sz w:val="30"/>
          <w:szCs w:val="30"/>
        </w:rPr>
        <w:t xml:space="preserve">3. What qualifies as an Infrastructure Operating Model</w:t>
      </w:r>
    </w:p>
    <w:p>
      <w:pPr>
        <w:spacing w:after="160" w:line="300"/>
        <w:jc w:val="both"/>
      </w:pPr>
      <w:r>
        <w:rPr>
          <w:rFonts w:ascii="Arial" w:cs="Arial" w:eastAsia="Arial" w:hAnsi="Arial"/>
          <w:color w:val="222C3A"/>
          <w:sz w:val="21"/>
          <w:szCs w:val="21"/>
        </w:rPr>
        <w:t xml:space="preserve">To function as an authority layer for security, a system must exhibit a small set of non-negotiable properties. Insight or control alone does not make an IOM.</w:t>
      </w:r>
    </w:p>
    <w:p>
      <w:pPr>
        <w:spacing w:after="160" w:line="300"/>
        <w:jc w:val="both"/>
      </w:pPr>
      <w:r>
        <w:rPr>
          <w:rFonts w:ascii="Arial" w:cs="Arial" w:eastAsia="Arial" w:hAnsi="Arial"/>
          <w:color w:val="222C3A"/>
          <w:sz w:val="21"/>
          <w:szCs w:val="21"/>
        </w:rPr>
        <w:t xml:space="preserve">It must continuously reconcile </w:t>
      </w:r>
      <w:r>
        <w:rPr>
          <w:rFonts w:ascii="Arial" w:cs="Arial" w:eastAsia="Arial" w:hAnsi="Arial"/>
          <w:b/>
          <w:bCs/>
          <w:color w:val="1B2D4F"/>
        </w:rPr>
        <w:t xml:space="preserve">declared intent against observed reality</w:t>
      </w:r>
      <w:r>
        <w:rPr>
          <w:rFonts w:ascii="Arial" w:cs="Arial" w:eastAsia="Arial" w:hAnsi="Arial"/>
          <w:color w:val="222C3A"/>
          <w:sz w:val="21"/>
          <w:szCs w:val="21"/>
        </w:rPr>
        <w:t xml:space="preserve"> rather than periodically comparing snapshots. It must represent infrastructure as a </w:t>
      </w:r>
      <w:r>
        <w:rPr>
          <w:rFonts w:ascii="Arial" w:cs="Arial" w:eastAsia="Arial" w:hAnsi="Arial"/>
          <w:b/>
          <w:bCs/>
          <w:color w:val="1B2D4F"/>
        </w:rPr>
        <w:t xml:space="preserve">canonical, intent-bearing model</w:t>
      </w:r>
      <w:r>
        <w:rPr>
          <w:rFonts w:ascii="Arial" w:cs="Arial" w:eastAsia="Arial" w:hAnsi="Arial"/>
          <w:color w:val="222C3A"/>
          <w:sz w:val="21"/>
          <w:szCs w:val="21"/>
        </w:rPr>
        <w:t xml:space="preserve"> that encodes constraints, ownership, and allowable states — not merely assets or telemetry. It must model </w:t>
      </w:r>
      <w:r>
        <w:rPr>
          <w:rFonts w:ascii="Arial" w:cs="Arial" w:eastAsia="Arial" w:hAnsi="Arial"/>
          <w:b/>
          <w:bCs/>
          <w:color w:val="1B2D4F"/>
        </w:rPr>
        <w:t xml:space="preserve">relationships and authority explicitly</w:t>
      </w:r>
      <w:r>
        <w:rPr>
          <w:rFonts w:ascii="Arial" w:cs="Arial" w:eastAsia="Arial" w:hAnsi="Arial"/>
          <w:color w:val="222C3A"/>
          <w:sz w:val="21"/>
          <w:szCs w:val="21"/>
        </w:rPr>
        <w:t xml:space="preserve">: dependencies, trust paths, blast-radius boundaries, and ownership as first-class facts, not post-hoc inferences. It must </w:t>
      </w:r>
      <w:r>
        <w:rPr>
          <w:rFonts w:ascii="Arial" w:cs="Arial" w:eastAsia="Arial" w:hAnsi="Arial"/>
          <w:b/>
          <w:bCs/>
          <w:color w:val="1B2D4F"/>
        </w:rPr>
        <w:t xml:space="preserve">govern at the point of change</w:t>
      </w:r>
      <w:r>
        <w:rPr>
          <w:rFonts w:ascii="Arial" w:cs="Arial" w:eastAsia="Arial" w:hAnsi="Arial"/>
          <w:color w:val="222C3A"/>
          <w:sz w:val="21"/>
          <w:szCs w:val="21"/>
        </w:rPr>
        <w:t xml:space="preserve">, validating intent and constraints before execution rather than detecting drift after it. And any </w:t>
      </w:r>
      <w:r>
        <w:rPr>
          <w:rFonts w:ascii="Arial" w:cs="Arial" w:eastAsia="Arial" w:hAnsi="Arial"/>
          <w:b/>
          <w:bCs/>
          <w:color w:val="1B2D4F"/>
        </w:rPr>
        <w:t xml:space="preserve">AI must reason over the reconciled model</w:t>
      </w:r>
      <w:r>
        <w:rPr>
          <w:rFonts w:ascii="Arial" w:cs="Arial" w:eastAsia="Arial" w:hAnsi="Arial"/>
          <w:color w:val="222C3A"/>
          <w:sz w:val="21"/>
          <w:szCs w:val="21"/>
        </w:rPr>
        <w:t xml:space="preserve">, not infer meaning from raw logs. A system lacking any of these may inform or enforce, but it is not an IOM. No volume of telemetry becomes authority, because observation establishes what is happening while authority establishes what is allowed — a different kind of fact, and one that cannot be inferred from the running state alone.</w:t>
      </w:r>
    </w:p>
    <w:p>
      <w:pPr>
        <w:pBdr>
          <w:left w:val="single" w:color="C8920A" w:sz="24" w:space="12"/>
        </w:pBdr>
        <w:spacing w:after="180" w:before="180" w:line="300"/>
        <w:ind w:left="360"/>
      </w:pPr>
      <w:r>
        <w:rPr>
          <w:rFonts w:ascii="Georgia" w:cs="Georgia" w:eastAsia="Georgia" w:hAnsi="Georgia"/>
          <w:i/>
          <w:iCs/>
          <w:color w:val="1B2D4F"/>
          <w:sz w:val="26"/>
          <w:szCs w:val="26"/>
        </w:rPr>
        <w:t xml:space="preserve">The IOM becomes the system of record not just for what exists, but for what is allowed to exist.</w:t>
      </w:r>
    </w:p>
    <w:p>
      <w:pPr>
        <w:pStyle w:val="Heading1"/>
        <w:pBdr>
          <w:bottom w:val="single" w:color="C8920A" w:sz="12" w:space="4"/>
        </w:pBdr>
        <w:spacing w:after="120" w:before="320"/>
      </w:pPr>
      <w:r>
        <w:rPr>
          <w:rFonts w:ascii="Georgia" w:cs="Georgia" w:eastAsia="Georgia" w:hAnsi="Georgia"/>
          <w:b/>
          <w:bCs/>
          <w:color w:val="1B2D4F"/>
          <w:sz w:val="30"/>
          <w:szCs w:val="30"/>
        </w:rPr>
        <w:t xml:space="preserve">4. Why the prior categories fall short</w:t>
      </w:r>
    </w:p>
    <w:p>
      <w:pPr>
        <w:spacing w:after="160" w:line="300"/>
        <w:jc w:val="both"/>
      </w:pPr>
      <w:r>
        <w:rPr>
          <w:rFonts w:ascii="Arial" w:cs="Arial" w:eastAsia="Arial" w:hAnsi="Arial"/>
          <w:color w:val="222C3A"/>
          <w:sz w:val="21"/>
          <w:szCs w:val="21"/>
        </w:rPr>
        <w:t xml:space="preserve">The reason security cannot simply adopt an existing tool for this role is that each adjacent category was built to answer a different question. A CMDB catalogs assets retrospectively, relies on human discipline, and degrades as automation increases; even when API-fed, it lacks explicit intent and cannot reconcile design assumptions against runtime reality. It documents infrastructure rather than governing it.</w:t>
      </w:r>
    </w:p>
    <w:p>
      <w:pPr>
        <w:spacing w:after="160" w:line="300"/>
        <w:jc w:val="both"/>
      </w:pPr>
      <w:r>
        <w:rPr>
          <w:rFonts w:ascii="Arial" w:cs="Arial" w:eastAsia="Arial" w:hAnsi="Arial"/>
          <w:color w:val="222C3A"/>
          <w:sz w:val="21"/>
          <w:szCs w:val="21"/>
        </w:rPr>
        <w:t xml:space="preserve">Log-centric and event-correlation platforms — SIEM, AIOps — observe activity but do not understand systems. AI applied to logs must infer meaning from behavior, producing fragile, often non-explainable outputs; correlation stays retrospective and alerts multiply as architectures evolve. Telemetry is necessary but insufficient. The distinction is categorical, not a matter of maturity: an IOM models intent and reconciles continuously, where a CMDB models assets periodically and a log platform models events reactively.</w:t>
      </w:r>
    </w:p>
    <w:p>
      <w:pPr>
        <w:pStyle w:val="Heading1"/>
        <w:pBdr>
          <w:bottom w:val="single" w:color="C8920A" w:sz="12" w:space="4"/>
        </w:pBdr>
        <w:spacing w:after="120" w:before="320"/>
      </w:pPr>
      <w:r>
        <w:rPr>
          <w:rFonts w:ascii="Georgia" w:cs="Georgia" w:eastAsia="Georgia" w:hAnsi="Georgia"/>
          <w:b/>
          <w:bCs/>
          <w:color w:val="1B2D4F"/>
          <w:sz w:val="30"/>
          <w:szCs w:val="30"/>
        </w:rPr>
        <w:t xml:space="preserve">5. From observability to governability</w:t>
      </w:r>
    </w:p>
    <w:p>
      <w:pPr>
        <w:spacing w:after="160" w:line="300"/>
        <w:jc w:val="both"/>
      </w:pPr>
      <w:r>
        <w:rPr>
          <w:rFonts w:ascii="Arial" w:cs="Arial" w:eastAsia="Arial" w:hAnsi="Arial"/>
          <w:color w:val="222C3A"/>
          <w:sz w:val="21"/>
          <w:szCs w:val="21"/>
        </w:rPr>
        <w:t xml:space="preserve">Traditional observability inspects systems after they are built. It provides visibility but not authority: teams must still interpret meaning, judge legitimacy, and coordinate remediation through human processes. An IOM redefines observability by introducing intent. Telemetry is continuously reconciled against how systems are </w:t>
      </w:r>
      <w:r>
        <w:rPr>
          <w:rFonts w:ascii="Arial" w:cs="Arial" w:eastAsia="Arial" w:hAnsi="Arial"/>
          <w:i/>
          <w:iCs/>
          <w:color w:val="222C3A"/>
        </w:rPr>
        <w:t xml:space="preserve">meant</w:t>
      </w:r>
      <w:r>
        <w:rPr>
          <w:rFonts w:ascii="Arial" w:cs="Arial" w:eastAsia="Arial" w:hAnsi="Arial"/>
          <w:color w:val="222C3A"/>
          <w:sz w:val="21"/>
          <w:szCs w:val="21"/>
        </w:rPr>
        <w:t xml:space="preserve"> to operate, so the core question shifts.</w:t>
      </w:r>
    </w:p>
    <w:p>
      <w:pPr>
        <w:spacing w:after="160" w:line="300"/>
        <w:jc w:val="both"/>
      </w:pPr>
      <w:r>
        <w:rPr>
          <w:rFonts w:ascii="Arial" w:cs="Arial" w:eastAsia="Arial" w:hAnsi="Arial"/>
          <w:color w:val="222C3A"/>
          <w:sz w:val="21"/>
          <w:szCs w:val="21"/>
        </w:rPr>
        <w:t xml:space="preserve">It moves from </w:t>
      </w:r>
      <w:r>
        <w:rPr>
          <w:rFonts w:ascii="Arial" w:cs="Arial" w:eastAsia="Arial" w:hAnsi="Arial"/>
          <w:i/>
          <w:iCs/>
          <w:color w:val="222C3A"/>
        </w:rPr>
        <w:t xml:space="preserve">“what do we see?”</w:t>
      </w:r>
      <w:r>
        <w:rPr>
          <w:rFonts w:ascii="Arial" w:cs="Arial" w:eastAsia="Arial" w:hAnsi="Arial"/>
          <w:color w:val="222C3A"/>
          <w:sz w:val="21"/>
          <w:szCs w:val="21"/>
        </w:rPr>
        <w:t xml:space="preserve"> to </w:t>
      </w:r>
      <w:r>
        <w:rPr>
          <w:rFonts w:ascii="Arial" w:cs="Arial" w:eastAsia="Arial" w:hAnsi="Arial"/>
          <w:i/>
          <w:iCs/>
          <w:color w:val="222C3A"/>
        </w:rPr>
        <w:t xml:space="preserve">“is what we see allowed, legitimate, and safe?”</w:t>
      </w:r>
      <w:r>
        <w:rPr>
          <w:rFonts w:ascii="Arial" w:cs="Arial" w:eastAsia="Arial" w:hAnsi="Arial"/>
          <w:color w:val="222C3A"/>
          <w:sz w:val="21"/>
          <w:szCs w:val="21"/>
        </w:rPr>
        <w:t xml:space="preserve"> Observed behavior is validated against the relationships, ownership, constraints, and policy boundaries encoded in the model, and unsafe conditions can be blocked or remediated deterministically before downstream impact. Logs, metrics, traces, and security telemetry are not replaced; they are contextualized. The result is a shift from reactive visibility to proactive control — governing behavior rather than merely observing it.</w:t>
      </w:r>
    </w:p>
    <w:p>
      <w:pPr>
        <w:pBdr>
          <w:left w:val="single" w:color="C8920A" w:sz="24" w:space="12"/>
        </w:pBdr>
        <w:spacing w:after="180" w:before="180" w:line="300"/>
        <w:ind w:left="360"/>
      </w:pPr>
      <w:r>
        <w:rPr>
          <w:rFonts w:ascii="Georgia" w:cs="Georgia" w:eastAsia="Georgia" w:hAnsi="Georgia"/>
          <w:i/>
          <w:iCs/>
          <w:color w:val="1B2D4F"/>
          <w:sz w:val="26"/>
          <w:szCs w:val="26"/>
        </w:rPr>
        <w:t xml:space="preserve">Telemetry tells you what happened. An operating model tells you whether it should have.</w:t>
      </w:r>
    </w:p>
    <w:p>
      <w:pPr>
        <w:pStyle w:val="Heading1"/>
        <w:pBdr>
          <w:bottom w:val="single" w:color="C8920A" w:sz="12" w:space="4"/>
        </w:pBdr>
        <w:spacing w:after="120" w:before="320"/>
      </w:pPr>
      <w:r>
        <w:rPr>
          <w:rFonts w:ascii="Georgia" w:cs="Georgia" w:eastAsia="Georgia" w:hAnsi="Georgia"/>
          <w:b/>
          <w:bCs/>
          <w:color w:val="1B2D4F"/>
          <w:sz w:val="30"/>
          <w:szCs w:val="30"/>
        </w:rPr>
        <w:t xml:space="preserve">6. Zero Trust: from posture to enforced reality</w:t>
      </w:r>
    </w:p>
    <w:p>
      <w:pPr>
        <w:spacing w:after="160" w:line="300"/>
        <w:jc w:val="both"/>
      </w:pPr>
      <w:r>
        <w:rPr>
          <w:rFonts w:ascii="Arial" w:cs="Arial" w:eastAsia="Arial" w:hAnsi="Arial"/>
          <w:color w:val="222C3A"/>
          <w:sz w:val="21"/>
          <w:szCs w:val="21"/>
        </w:rPr>
        <w:t xml:space="preserve">Zero Trust has become the dominant security posture, and its premise — that no access, connection, or action is implicitly trusted — has broad support. Yet most Zero Trust initiatives struggle in practice, not because the principles are flawed, but because they are implemented without an operating model capable of continuously enforcing them.</w:t>
      </w:r>
    </w:p>
    <w:p>
      <w:pPr>
        <w:spacing w:after="160" w:line="300"/>
        <w:jc w:val="both"/>
      </w:pPr>
      <w:r>
        <w:rPr>
          <w:rFonts w:ascii="Arial" w:cs="Arial" w:eastAsia="Arial" w:hAnsi="Arial"/>
          <w:color w:val="222C3A"/>
          <w:sz w:val="21"/>
          <w:szCs w:val="21"/>
        </w:rPr>
        <w:t xml:space="preserve">The relationship is clean: </w:t>
      </w:r>
      <w:r>
        <w:rPr>
          <w:rFonts w:ascii="Arial" w:cs="Arial" w:eastAsia="Arial" w:hAnsi="Arial"/>
          <w:b/>
          <w:bCs/>
          <w:color w:val="1B2D4F"/>
        </w:rPr>
        <w:t xml:space="preserve">Zero Trust defines what should be true; the IOM defines how that remains true as infrastructure changes.</w:t>
      </w:r>
      <w:r>
        <w:rPr>
          <w:rFonts w:ascii="Arial" w:cs="Arial" w:eastAsia="Arial" w:hAnsi="Arial"/>
          <w:color w:val="222C3A"/>
          <w:sz w:val="21"/>
          <w:szCs w:val="21"/>
        </w:rPr>
        <w:t xml:space="preserve"> Zero Trust sets the intent — trust granted explicitly, access validated continuously, blast radius minimized, policy following identity and context. The IOM governs the execution of that intent. Without it, Zero Trust falls back on static policies, periodic validation, and retrospective detection, and posture decays as the environment drifts.</w:t>
      </w:r>
    </w:p>
    <w:p>
      <w:pPr>
        <w:spacing w:after="160" w:line="300"/>
        <w:jc w:val="both"/>
      </w:pPr>
      <w:r>
        <w:rPr>
          <w:rFonts w:ascii="Arial" w:cs="Arial" w:eastAsia="Arial" w:hAnsi="Arial"/>
          <w:color w:val="222C3A"/>
          <w:sz w:val="21"/>
          <w:szCs w:val="21"/>
        </w:rPr>
        <w:t xml:space="preserve">Concretely, an IOM operationalizes Zero Trust by modeling trust boundaries and allowable communication paths directly rather than inferring them from firewall rules; by validating trust assumptions continuously through built-versus-running reconciliation rather than auditing after drift; by enforcing trust constraints before execution rather than after exposure; by evaluating policy in the context of architectural intent and ownership rather than as isolated allow/deny rules; and by bounding blast radius through explicitly modeled dependencies rather than discovering it during incident response. It does not replace NIST Zero Trust or the CSF — it strengthens their outcomes across Identify, Protect, Detect, Respond, and Recover by grounding them in a continuously reconciled model.</w:t>
      </w:r>
    </w:p>
    <w:p>
      <w:pPr>
        <w:pStyle w:val="Heading1"/>
        <w:pBdr>
          <w:bottom w:val="single" w:color="C8920A" w:sz="12" w:space="4"/>
        </w:pBdr>
        <w:spacing w:after="120" w:before="320"/>
      </w:pPr>
      <w:r>
        <w:rPr>
          <w:rFonts w:ascii="Georgia" w:cs="Georgia" w:eastAsia="Georgia" w:hAnsi="Georgia"/>
          <w:b/>
          <w:bCs/>
          <w:color w:val="1B2D4F"/>
          <w:sz w:val="30"/>
          <w:szCs w:val="30"/>
        </w:rPr>
        <w:t xml:space="preserve">7. AI grounded in the model, not the logs</w:t>
      </w:r>
    </w:p>
    <w:p>
      <w:pPr>
        <w:spacing w:after="160" w:line="300"/>
        <w:jc w:val="both"/>
      </w:pPr>
      <w:r>
        <w:rPr>
          <w:rFonts w:ascii="Arial" w:cs="Arial" w:eastAsia="Arial" w:hAnsi="Arial"/>
          <w:color w:val="222C3A"/>
          <w:sz w:val="21"/>
          <w:szCs w:val="21"/>
        </w:rPr>
        <w:t xml:space="preserve">Hallucination in enterprise infrastructure is rarely a model problem; it is a data-authority problem. When AI must reason across fragmented tools, inferred relationships, delayed telemetry, and undocumented intent, inconsistent conclusions are unavoidable. An IOM changes the condition structurally by capturing both intent and observed behavior in one continuously reconciled model, so AI operates on curated, authoritative data rather than inferred context.</w:t>
      </w:r>
    </w:p>
    <w:p>
      <w:pPr>
        <w:spacing w:after="160" w:line="300"/>
        <w:jc w:val="both"/>
      </w:pPr>
      <w:r>
        <w:rPr>
          <w:rFonts w:ascii="Arial" w:cs="Arial" w:eastAsia="Arial" w:hAnsi="Arial"/>
          <w:color w:val="222C3A"/>
          <w:sz w:val="21"/>
          <w:szCs w:val="21"/>
        </w:rPr>
        <w:t xml:space="preserve">On that foundation, AI can reason over deterministic relationships instead of probabilistic inference, explain behavior against validated intent and ownership, and distinguish allowed behavior from anomalous behavior with precision. Hallucination risk falls not by constraining the model but by constraining the truth surface it operates on. In this architecture, AI refines security insight rather than guessing at intent — and it never determines what is true. The operating model does.</w:t>
      </w:r>
    </w:p>
    <w:p>
      <w:pPr>
        <w:pBdr>
          <w:left w:val="single" w:color="C8920A" w:sz="24" w:space="12"/>
        </w:pBdr>
        <w:spacing w:after="180" w:before="180" w:line="300"/>
        <w:ind w:left="360"/>
      </w:pPr>
      <w:r>
        <w:rPr>
          <w:rFonts w:ascii="Georgia" w:cs="Georgia" w:eastAsia="Georgia" w:hAnsi="Georgia"/>
          <w:i/>
          <w:iCs/>
          <w:color w:val="1B2D4F"/>
          <w:sz w:val="26"/>
          <w:szCs w:val="26"/>
        </w:rPr>
        <w:t xml:space="preserve">Without intent reconciliation, false positives persist. With it, security shifts from probabilistic inference to architectural validation.</w:t>
      </w:r>
    </w:p>
    <w:p>
      <w:pPr>
        <w:pStyle w:val="Heading1"/>
        <w:pBdr>
          <w:bottom w:val="single" w:color="C8920A" w:sz="12" w:space="4"/>
        </w:pBdr>
        <w:spacing w:after="120" w:before="320"/>
      </w:pPr>
      <w:r>
        <w:rPr>
          <w:rFonts w:ascii="Georgia" w:cs="Georgia" w:eastAsia="Georgia" w:hAnsi="Georgia"/>
          <w:b/>
          <w:bCs/>
          <w:color w:val="1B2D4F"/>
          <w:sz w:val="30"/>
          <w:szCs w:val="30"/>
        </w:rPr>
        <w:t xml:space="preserve">8. Why this is possible now, and necessary now</w:t>
      </w:r>
    </w:p>
    <w:p>
      <w:pPr>
        <w:spacing w:after="160" w:line="300"/>
        <w:jc w:val="both"/>
      </w:pPr>
      <w:r>
        <w:rPr>
          <w:rFonts w:ascii="Arial" w:cs="Arial" w:eastAsia="Arial" w:hAnsi="Arial"/>
          <w:color w:val="222C3A"/>
          <w:sz w:val="21"/>
          <w:szCs w:val="21"/>
        </w:rPr>
        <w:t xml:space="preserve">Continuously reconciled infrastructure understanding was historically impractical: fragmented tooling, limited APIs, and human-driven change made real-time reconciliation infeasible. Cloud control planes, infrastructure-as-code, pervasive APIs, and scalable data engineering have changed that equation — the same forces that make an IOM achievable. Those forces, together with AI-assisted change and increasing system coupling, are also what make it necessary.</w:t>
      </w:r>
    </w:p>
    <w:p>
      <w:pPr>
        <w:spacing w:after="160" w:line="300"/>
        <w:jc w:val="both"/>
      </w:pPr>
      <w:r>
        <w:rPr>
          <w:rFonts w:ascii="Arial" w:cs="Arial" w:eastAsia="Arial" w:hAnsi="Arial"/>
          <w:color w:val="222C3A"/>
          <w:sz w:val="21"/>
          <w:szCs w:val="21"/>
        </w:rPr>
        <w:t xml:space="preserve">As security programs shift toward preemptive control and resilience, the IOM emerges not as another tool category but as a missing architectural layer required to govern modern infrastructure safely. Its scope is deliberately bounded: it governs infrastructure and service-to-service behavior; it does not replace SOC tooling, eliminate the need for detection and response, or model endpoint and end-user systems. It improves decision quality and prevents risk — it does not promise perfect foresight.</w:t>
      </w:r>
    </w:p>
    <w:p>
      <w:pPr>
        <w:pStyle w:val="Heading1"/>
        <w:pBdr>
          <w:bottom w:val="single" w:color="C8920A" w:sz="12" w:space="4"/>
        </w:pBdr>
        <w:spacing w:after="120" w:before="320"/>
      </w:pPr>
      <w:r>
        <w:rPr>
          <w:rFonts w:ascii="Georgia" w:cs="Georgia" w:eastAsia="Georgia" w:hAnsi="Georgia"/>
          <w:b/>
          <w:bCs/>
          <w:color w:val="1B2D4F"/>
          <w:sz w:val="30"/>
          <w:szCs w:val="30"/>
        </w:rPr>
        <w:t xml:space="preserve">9. Conclusion</w:t>
      </w:r>
    </w:p>
    <w:p>
      <w:pPr>
        <w:spacing w:after="160" w:line="300"/>
        <w:jc w:val="both"/>
      </w:pPr>
      <w:r>
        <w:rPr>
          <w:rFonts w:ascii="Arial" w:cs="Arial" w:eastAsia="Arial" w:hAnsi="Arial"/>
          <w:color w:val="222C3A"/>
          <w:sz w:val="21"/>
          <w:szCs w:val="21"/>
        </w:rPr>
        <w:t xml:space="preserve">Infrastructure security and observability are no longer tooling problems. They are operating-model problems. As security evolves toward preemptive defense and resilience, success depends on governing understanding before control — holding declared intent as the authority against which observed reality is continuously judged.</w:t>
      </w:r>
    </w:p>
    <w:p>
      <w:pPr>
        <w:spacing w:after="160" w:line="300"/>
        <w:jc w:val="both"/>
      </w:pPr>
      <w:r>
        <w:rPr>
          <w:rFonts w:ascii="Arial" w:cs="Arial" w:eastAsia="Arial" w:hAnsi="Arial"/>
          <w:color w:val="222C3A"/>
          <w:sz w:val="21"/>
          <w:szCs w:val="21"/>
        </w:rPr>
        <w:t xml:space="preserve">The path forward is not more reactive tools, trend-driven architectures, or opaque automation. It is continuously governed understanding, embedded at the core of how infrastructure is designed, changed, and secured. An Infrastructure Operating Model is the layer that makes preventive security, enforceable Zero Trust, and explainable AI durable as infrastructure evolves.</w:t>
      </w:r>
    </w:p>
    <w:p>
      <w:pPr>
        <w:pBdr>
          <w:top w:val="single" w:color="D9D2C6" w:sz="6" w:space="8"/>
        </w:pBdr>
        <w:spacing w:before="280" w:line="280"/>
        <w:jc w:val="both"/>
      </w:pPr>
      <w:r>
        <w:rPr>
          <w:rFonts w:ascii="Arial" w:cs="Arial" w:eastAsia="Arial" w:hAnsi="Arial"/>
          <w:i/>
          <w:iCs/>
          <w:color w:val="4A5568"/>
          <w:sz w:val="19"/>
          <w:szCs w:val="19"/>
        </w:rPr>
        <w:t xml:space="preserve">This is a category paper in the IOM Standard library. It establishes the conceptual relationship between the Infrastructure Operating Model and modern security practice; it does not restate the normative requirements of the IOM Standard. The IOM Standard is an open, vendor-neutral specification — learn more at theIOM.org.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outlineLvl w:val="0"/>
    </w:pPr>
    <w:rPr>
      <w:rFonts w:ascii="Georgia" w:cs="Georgia" w:eastAsia="Georgia" w:hAnsi="Georgia"/>
      <w:b/>
      <w:bCs/>
      <w:color w:val="1B2D4F"/>
      <w:sz w:val="30"/>
      <w:szCs w:val="30"/>
    </w:rPr>
  </w:style>
  <w:style w:type="paragraph" w:styleId="Heading2">
    <w:name w:val="Heading 2"/>
    <w:basedOn w:val="Normal"/>
    <w:next w:val="Normal"/>
    <w:qFormat/>
    <w:pPr>
      <w:outlineLvl w:val="1"/>
    </w:pPr>
    <w:rPr>
      <w:rFonts w:ascii="Arial" w:cs="Arial" w:eastAsia="Arial" w:hAnsi="Arial"/>
      <w:b/>
      <w:bCs/>
      <w:color w:val="4A5568"/>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2026-06-28T13:22:16.750Z</dcterms:created>
  <dcterms:modified xsi:type="dcterms:W3CDTF">2026-06-28T13:22:16.750Z</dcterms:modified>
</cp:coreProperties>
</file>

<file path=docProps/custom.xml><?xml version="1.0" encoding="utf-8"?>
<Properties xmlns="http://schemas.openxmlformats.org/officeDocument/2006/custom-properties" xmlns:vt="http://schemas.openxmlformats.org/officeDocument/2006/docPropsVTypes"/>
</file>